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AF2EB" w14:textId="3F7425C8" w:rsidR="00346A4D" w:rsidRPr="00346A4D" w:rsidRDefault="000025F3" w:rsidP="00346A4D">
      <w:pPr>
        <w:pStyle w:val="Heading1"/>
      </w:pPr>
      <w:r>
        <w:rPr>
          <w:noProof/>
        </w:rPr>
        <w:drawing>
          <wp:inline distT="0" distB="0" distL="0" distR="0" wp14:anchorId="502C988D" wp14:editId="3634F072">
            <wp:extent cx="1800225" cy="571500"/>
            <wp:effectExtent l="0" t="0" r="9525" b="0"/>
            <wp:docPr id="7850421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0225" cy="571500"/>
                    </a:xfrm>
                    <a:prstGeom prst="rect">
                      <a:avLst/>
                    </a:prstGeom>
                    <a:noFill/>
                    <a:ln>
                      <a:noFill/>
                    </a:ln>
                  </pic:spPr>
                </pic:pic>
              </a:graphicData>
            </a:graphic>
          </wp:inline>
        </w:drawing>
      </w:r>
      <w:r w:rsidR="00346A4D">
        <w:t xml:space="preserve">                        </w:t>
      </w:r>
      <w:r w:rsidR="00346A4D" w:rsidRPr="00346A4D">
        <w:rPr>
          <w:noProof/>
        </w:rPr>
        <w:drawing>
          <wp:inline distT="0" distB="0" distL="0" distR="0" wp14:anchorId="66BFB8A1" wp14:editId="017DE3DF">
            <wp:extent cx="2388235" cy="472038"/>
            <wp:effectExtent l="0" t="0" r="0" b="4445"/>
            <wp:docPr id="213668713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9356" cy="474236"/>
                    </a:xfrm>
                    <a:prstGeom prst="rect">
                      <a:avLst/>
                    </a:prstGeom>
                    <a:noFill/>
                    <a:ln>
                      <a:noFill/>
                    </a:ln>
                  </pic:spPr>
                </pic:pic>
              </a:graphicData>
            </a:graphic>
          </wp:inline>
        </w:drawing>
      </w:r>
    </w:p>
    <w:p w14:paraId="57FB367C" w14:textId="78E619ED" w:rsidR="00CF0142" w:rsidRDefault="00CF0142" w:rsidP="00F21570">
      <w:pPr>
        <w:pStyle w:val="Heading1"/>
      </w:pPr>
    </w:p>
    <w:p w14:paraId="469102D8" w14:textId="630528CD" w:rsidR="0013459F" w:rsidRDefault="00F21570" w:rsidP="00F21570">
      <w:pPr>
        <w:pStyle w:val="Heading1"/>
      </w:pPr>
      <w:r w:rsidRPr="00F21570">
        <w:t>Do we know how much the</w:t>
      </w:r>
      <w:r w:rsidR="0013459F" w:rsidRPr="00F21570">
        <w:t xml:space="preserve"> Scottish Government </w:t>
      </w:r>
      <w:r w:rsidRPr="00F21570">
        <w:t xml:space="preserve">has spent </w:t>
      </w:r>
      <w:r w:rsidR="0013459F" w:rsidRPr="00F21570">
        <w:t>on tackling child poverty</w:t>
      </w:r>
      <w:r w:rsidR="00397A40" w:rsidRPr="00F21570">
        <w:t>?</w:t>
      </w:r>
      <w:r w:rsidR="0013459F" w:rsidRPr="00F21570">
        <w:t xml:space="preserve"> </w:t>
      </w:r>
    </w:p>
    <w:p w14:paraId="3AAA8A39" w14:textId="77777777" w:rsidR="00F21570" w:rsidRDefault="00F21570" w:rsidP="00F21570"/>
    <w:p w14:paraId="5210CD21" w14:textId="23656585" w:rsidR="00346A4D" w:rsidRDefault="00CF0142" w:rsidP="00CF0142">
      <w:pPr>
        <w:pStyle w:val="Heading2"/>
      </w:pPr>
      <w:r>
        <w:t>An attempt to uncover outturn expenditure on measures in the tackling child poverty delivery plans</w:t>
      </w:r>
    </w:p>
    <w:p w14:paraId="3708D021" w14:textId="77777777" w:rsidR="002148D1" w:rsidRDefault="002148D1" w:rsidP="002148D1"/>
    <w:p w14:paraId="78F94B73" w14:textId="77777777" w:rsidR="002148D1" w:rsidRPr="002148D1" w:rsidRDefault="002148D1" w:rsidP="002148D1"/>
    <w:sdt>
      <w:sdtPr>
        <w:rPr>
          <w:rFonts w:asciiTheme="minorHAnsi" w:eastAsiaTheme="minorHAnsi" w:hAnsiTheme="minorHAnsi" w:cstheme="minorBidi"/>
          <w:color w:val="auto"/>
          <w:sz w:val="22"/>
          <w:szCs w:val="22"/>
        </w:rPr>
        <w:id w:val="-598788931"/>
        <w:docPartObj>
          <w:docPartGallery w:val="Table of Contents"/>
          <w:docPartUnique/>
        </w:docPartObj>
      </w:sdtPr>
      <w:sdtEndPr>
        <w:rPr>
          <w:b/>
          <w:bCs/>
          <w:noProof/>
        </w:rPr>
      </w:sdtEndPr>
      <w:sdtContent>
        <w:p w14:paraId="7CF494F5" w14:textId="1D02716D" w:rsidR="00176D60" w:rsidRPr="004B3446" w:rsidRDefault="00176D60" w:rsidP="00423537">
          <w:pPr>
            <w:pStyle w:val="Heading1"/>
          </w:pPr>
          <w:r w:rsidRPr="004B3446">
            <w:t>Contents</w:t>
          </w:r>
        </w:p>
        <w:p w14:paraId="57B2DE89" w14:textId="769FA17B" w:rsidR="00413FFA" w:rsidRDefault="00176D60">
          <w:pPr>
            <w:pStyle w:val="TOC2"/>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01763568" w:history="1">
            <w:r w:rsidR="00413FFA" w:rsidRPr="00F728E6">
              <w:rPr>
                <w:rStyle w:val="Hyperlink"/>
                <w:noProof/>
              </w:rPr>
              <w:t>Introduction</w:t>
            </w:r>
            <w:r w:rsidR="00413FFA">
              <w:rPr>
                <w:noProof/>
                <w:webHidden/>
              </w:rPr>
              <w:tab/>
            </w:r>
            <w:r w:rsidR="00413FFA">
              <w:rPr>
                <w:noProof/>
                <w:webHidden/>
              </w:rPr>
              <w:fldChar w:fldCharType="begin"/>
            </w:r>
            <w:r w:rsidR="00413FFA">
              <w:rPr>
                <w:noProof/>
                <w:webHidden/>
              </w:rPr>
              <w:instrText xml:space="preserve"> PAGEREF _Toc201763568 \h </w:instrText>
            </w:r>
            <w:r w:rsidR="00413FFA">
              <w:rPr>
                <w:noProof/>
                <w:webHidden/>
              </w:rPr>
            </w:r>
            <w:r w:rsidR="00413FFA">
              <w:rPr>
                <w:noProof/>
                <w:webHidden/>
              </w:rPr>
              <w:fldChar w:fldCharType="separate"/>
            </w:r>
            <w:r w:rsidR="00413FFA">
              <w:rPr>
                <w:noProof/>
                <w:webHidden/>
              </w:rPr>
              <w:t>2</w:t>
            </w:r>
            <w:r w:rsidR="00413FFA">
              <w:rPr>
                <w:noProof/>
                <w:webHidden/>
              </w:rPr>
              <w:fldChar w:fldCharType="end"/>
            </w:r>
          </w:hyperlink>
        </w:p>
        <w:p w14:paraId="0410104E" w14:textId="3161FEDF" w:rsidR="00413FFA" w:rsidRDefault="00413FFA">
          <w:pPr>
            <w:pStyle w:val="TOC2"/>
            <w:tabs>
              <w:tab w:val="right" w:leader="dot" w:pos="9016"/>
            </w:tabs>
            <w:rPr>
              <w:rFonts w:eastAsiaTheme="minorEastAsia"/>
              <w:noProof/>
              <w:sz w:val="24"/>
              <w:szCs w:val="24"/>
              <w:lang w:eastAsia="en-GB"/>
            </w:rPr>
          </w:pPr>
          <w:hyperlink w:anchor="_Toc201763569" w:history="1">
            <w:r w:rsidRPr="00F728E6">
              <w:rPr>
                <w:rStyle w:val="Hyperlink"/>
                <w:noProof/>
              </w:rPr>
              <w:t>Purpose</w:t>
            </w:r>
            <w:r>
              <w:rPr>
                <w:noProof/>
                <w:webHidden/>
              </w:rPr>
              <w:tab/>
            </w:r>
            <w:r>
              <w:rPr>
                <w:noProof/>
                <w:webHidden/>
              </w:rPr>
              <w:fldChar w:fldCharType="begin"/>
            </w:r>
            <w:r>
              <w:rPr>
                <w:noProof/>
                <w:webHidden/>
              </w:rPr>
              <w:instrText xml:space="preserve"> PAGEREF _Toc201763569 \h </w:instrText>
            </w:r>
            <w:r>
              <w:rPr>
                <w:noProof/>
                <w:webHidden/>
              </w:rPr>
            </w:r>
            <w:r>
              <w:rPr>
                <w:noProof/>
                <w:webHidden/>
              </w:rPr>
              <w:fldChar w:fldCharType="separate"/>
            </w:r>
            <w:r>
              <w:rPr>
                <w:noProof/>
                <w:webHidden/>
              </w:rPr>
              <w:t>2</w:t>
            </w:r>
            <w:r>
              <w:rPr>
                <w:noProof/>
                <w:webHidden/>
              </w:rPr>
              <w:fldChar w:fldCharType="end"/>
            </w:r>
          </w:hyperlink>
        </w:p>
        <w:p w14:paraId="774E2E57" w14:textId="5860DC87" w:rsidR="00413FFA" w:rsidRDefault="00413FFA">
          <w:pPr>
            <w:pStyle w:val="TOC2"/>
            <w:tabs>
              <w:tab w:val="right" w:leader="dot" w:pos="9016"/>
            </w:tabs>
            <w:rPr>
              <w:rFonts w:eastAsiaTheme="minorEastAsia"/>
              <w:noProof/>
              <w:sz w:val="24"/>
              <w:szCs w:val="24"/>
              <w:lang w:eastAsia="en-GB"/>
            </w:rPr>
          </w:pPr>
          <w:hyperlink w:anchor="_Toc201763570" w:history="1">
            <w:r w:rsidRPr="00F728E6">
              <w:rPr>
                <w:rStyle w:val="Hyperlink"/>
                <w:noProof/>
              </w:rPr>
              <w:t>Methodology</w:t>
            </w:r>
            <w:r>
              <w:rPr>
                <w:noProof/>
                <w:webHidden/>
              </w:rPr>
              <w:tab/>
            </w:r>
            <w:r>
              <w:rPr>
                <w:noProof/>
                <w:webHidden/>
              </w:rPr>
              <w:fldChar w:fldCharType="begin"/>
            </w:r>
            <w:r>
              <w:rPr>
                <w:noProof/>
                <w:webHidden/>
              </w:rPr>
              <w:instrText xml:space="preserve"> PAGEREF _Toc201763570 \h </w:instrText>
            </w:r>
            <w:r>
              <w:rPr>
                <w:noProof/>
                <w:webHidden/>
              </w:rPr>
            </w:r>
            <w:r>
              <w:rPr>
                <w:noProof/>
                <w:webHidden/>
              </w:rPr>
              <w:fldChar w:fldCharType="separate"/>
            </w:r>
            <w:r>
              <w:rPr>
                <w:noProof/>
                <w:webHidden/>
              </w:rPr>
              <w:t>2</w:t>
            </w:r>
            <w:r>
              <w:rPr>
                <w:noProof/>
                <w:webHidden/>
              </w:rPr>
              <w:fldChar w:fldCharType="end"/>
            </w:r>
          </w:hyperlink>
        </w:p>
        <w:p w14:paraId="0D54ADAE" w14:textId="23AB77AD" w:rsidR="00413FFA" w:rsidRDefault="00413FFA">
          <w:pPr>
            <w:pStyle w:val="TOC3"/>
            <w:tabs>
              <w:tab w:val="right" w:leader="dot" w:pos="9016"/>
            </w:tabs>
            <w:rPr>
              <w:rFonts w:eastAsiaTheme="minorEastAsia"/>
              <w:noProof/>
              <w:sz w:val="24"/>
              <w:szCs w:val="24"/>
              <w:lang w:eastAsia="en-GB"/>
            </w:rPr>
          </w:pPr>
          <w:hyperlink w:anchor="_Toc201763571" w:history="1">
            <w:r w:rsidRPr="00F728E6">
              <w:rPr>
                <w:rStyle w:val="Hyperlink"/>
                <w:noProof/>
              </w:rPr>
              <w:t>Intended method</w:t>
            </w:r>
            <w:r>
              <w:rPr>
                <w:noProof/>
                <w:webHidden/>
              </w:rPr>
              <w:tab/>
            </w:r>
            <w:r>
              <w:rPr>
                <w:noProof/>
                <w:webHidden/>
              </w:rPr>
              <w:fldChar w:fldCharType="begin"/>
            </w:r>
            <w:r>
              <w:rPr>
                <w:noProof/>
                <w:webHidden/>
              </w:rPr>
              <w:instrText xml:space="preserve"> PAGEREF _Toc201763571 \h </w:instrText>
            </w:r>
            <w:r>
              <w:rPr>
                <w:noProof/>
                <w:webHidden/>
              </w:rPr>
            </w:r>
            <w:r>
              <w:rPr>
                <w:noProof/>
                <w:webHidden/>
              </w:rPr>
              <w:fldChar w:fldCharType="separate"/>
            </w:r>
            <w:r>
              <w:rPr>
                <w:noProof/>
                <w:webHidden/>
              </w:rPr>
              <w:t>3</w:t>
            </w:r>
            <w:r>
              <w:rPr>
                <w:noProof/>
                <w:webHidden/>
              </w:rPr>
              <w:fldChar w:fldCharType="end"/>
            </w:r>
          </w:hyperlink>
        </w:p>
        <w:p w14:paraId="0497993F" w14:textId="0112A19D" w:rsidR="00413FFA" w:rsidRDefault="00413FFA">
          <w:pPr>
            <w:pStyle w:val="TOC3"/>
            <w:tabs>
              <w:tab w:val="right" w:leader="dot" w:pos="9016"/>
            </w:tabs>
            <w:rPr>
              <w:rFonts w:eastAsiaTheme="minorEastAsia"/>
              <w:noProof/>
              <w:sz w:val="24"/>
              <w:szCs w:val="24"/>
              <w:lang w:eastAsia="en-GB"/>
            </w:rPr>
          </w:pPr>
          <w:hyperlink w:anchor="_Toc201763572" w:history="1">
            <w:r w:rsidRPr="00F728E6">
              <w:rPr>
                <w:rStyle w:val="Hyperlink"/>
                <w:noProof/>
              </w:rPr>
              <w:t>Amended method</w:t>
            </w:r>
            <w:r>
              <w:rPr>
                <w:noProof/>
                <w:webHidden/>
              </w:rPr>
              <w:tab/>
            </w:r>
            <w:r>
              <w:rPr>
                <w:noProof/>
                <w:webHidden/>
              </w:rPr>
              <w:fldChar w:fldCharType="begin"/>
            </w:r>
            <w:r>
              <w:rPr>
                <w:noProof/>
                <w:webHidden/>
              </w:rPr>
              <w:instrText xml:space="preserve"> PAGEREF _Toc201763572 \h </w:instrText>
            </w:r>
            <w:r>
              <w:rPr>
                <w:noProof/>
                <w:webHidden/>
              </w:rPr>
            </w:r>
            <w:r>
              <w:rPr>
                <w:noProof/>
                <w:webHidden/>
              </w:rPr>
              <w:fldChar w:fldCharType="separate"/>
            </w:r>
            <w:r>
              <w:rPr>
                <w:noProof/>
                <w:webHidden/>
              </w:rPr>
              <w:t>4</w:t>
            </w:r>
            <w:r>
              <w:rPr>
                <w:noProof/>
                <w:webHidden/>
              </w:rPr>
              <w:fldChar w:fldCharType="end"/>
            </w:r>
          </w:hyperlink>
        </w:p>
        <w:p w14:paraId="46DEBFBB" w14:textId="5D6E7FF5" w:rsidR="00413FFA" w:rsidRDefault="00413FFA">
          <w:pPr>
            <w:pStyle w:val="TOC2"/>
            <w:tabs>
              <w:tab w:val="right" w:leader="dot" w:pos="9016"/>
            </w:tabs>
            <w:rPr>
              <w:rFonts w:eastAsiaTheme="minorEastAsia"/>
              <w:noProof/>
              <w:sz w:val="24"/>
              <w:szCs w:val="24"/>
              <w:lang w:eastAsia="en-GB"/>
            </w:rPr>
          </w:pPr>
          <w:hyperlink w:anchor="_Toc201763573" w:history="1">
            <w:r w:rsidRPr="00F728E6">
              <w:rPr>
                <w:rStyle w:val="Hyperlink"/>
                <w:noProof/>
              </w:rPr>
              <w:t>Results</w:t>
            </w:r>
            <w:r>
              <w:rPr>
                <w:noProof/>
                <w:webHidden/>
              </w:rPr>
              <w:tab/>
            </w:r>
            <w:r>
              <w:rPr>
                <w:noProof/>
                <w:webHidden/>
              </w:rPr>
              <w:fldChar w:fldCharType="begin"/>
            </w:r>
            <w:r>
              <w:rPr>
                <w:noProof/>
                <w:webHidden/>
              </w:rPr>
              <w:instrText xml:space="preserve"> PAGEREF _Toc201763573 \h </w:instrText>
            </w:r>
            <w:r>
              <w:rPr>
                <w:noProof/>
                <w:webHidden/>
              </w:rPr>
            </w:r>
            <w:r>
              <w:rPr>
                <w:noProof/>
                <w:webHidden/>
              </w:rPr>
              <w:fldChar w:fldCharType="separate"/>
            </w:r>
            <w:r>
              <w:rPr>
                <w:noProof/>
                <w:webHidden/>
              </w:rPr>
              <w:t>4</w:t>
            </w:r>
            <w:r>
              <w:rPr>
                <w:noProof/>
                <w:webHidden/>
              </w:rPr>
              <w:fldChar w:fldCharType="end"/>
            </w:r>
          </w:hyperlink>
        </w:p>
        <w:p w14:paraId="6A6E4B76" w14:textId="015A280A" w:rsidR="00413FFA" w:rsidRDefault="00413FFA">
          <w:pPr>
            <w:pStyle w:val="TOC3"/>
            <w:tabs>
              <w:tab w:val="right" w:leader="dot" w:pos="9016"/>
            </w:tabs>
            <w:rPr>
              <w:rFonts w:eastAsiaTheme="minorEastAsia"/>
              <w:noProof/>
              <w:sz w:val="24"/>
              <w:szCs w:val="24"/>
              <w:lang w:eastAsia="en-GB"/>
            </w:rPr>
          </w:pPr>
          <w:hyperlink w:anchor="_Toc201763574" w:history="1">
            <w:r w:rsidRPr="00F728E6">
              <w:rPr>
                <w:rStyle w:val="Hyperlink"/>
                <w:noProof/>
              </w:rPr>
              <w:t>Spend on actions featuring in delivery plans and progress reports</w:t>
            </w:r>
            <w:r>
              <w:rPr>
                <w:noProof/>
                <w:webHidden/>
              </w:rPr>
              <w:tab/>
            </w:r>
            <w:r>
              <w:rPr>
                <w:noProof/>
                <w:webHidden/>
              </w:rPr>
              <w:fldChar w:fldCharType="begin"/>
            </w:r>
            <w:r>
              <w:rPr>
                <w:noProof/>
                <w:webHidden/>
              </w:rPr>
              <w:instrText xml:space="preserve"> PAGEREF _Toc201763574 \h </w:instrText>
            </w:r>
            <w:r>
              <w:rPr>
                <w:noProof/>
                <w:webHidden/>
              </w:rPr>
            </w:r>
            <w:r>
              <w:rPr>
                <w:noProof/>
                <w:webHidden/>
              </w:rPr>
              <w:fldChar w:fldCharType="separate"/>
            </w:r>
            <w:r>
              <w:rPr>
                <w:noProof/>
                <w:webHidden/>
              </w:rPr>
              <w:t>4</w:t>
            </w:r>
            <w:r>
              <w:rPr>
                <w:noProof/>
                <w:webHidden/>
              </w:rPr>
              <w:fldChar w:fldCharType="end"/>
            </w:r>
          </w:hyperlink>
        </w:p>
        <w:p w14:paraId="2451E89A" w14:textId="6E96A0AC" w:rsidR="00413FFA" w:rsidRDefault="00413FFA">
          <w:pPr>
            <w:pStyle w:val="TOC3"/>
            <w:tabs>
              <w:tab w:val="right" w:leader="dot" w:pos="9016"/>
            </w:tabs>
            <w:rPr>
              <w:rFonts w:eastAsiaTheme="minorEastAsia"/>
              <w:noProof/>
              <w:sz w:val="24"/>
              <w:szCs w:val="24"/>
              <w:lang w:eastAsia="en-GB"/>
            </w:rPr>
          </w:pPr>
          <w:hyperlink w:anchor="_Toc201763575" w:history="1">
            <w:r w:rsidRPr="00F728E6">
              <w:rPr>
                <w:rStyle w:val="Hyperlink"/>
                <w:noProof/>
              </w:rPr>
              <w:t>Spend on actions where tackling child poverty is the primary aim of the policy</w:t>
            </w:r>
            <w:r>
              <w:rPr>
                <w:noProof/>
                <w:webHidden/>
              </w:rPr>
              <w:tab/>
            </w:r>
            <w:r>
              <w:rPr>
                <w:noProof/>
                <w:webHidden/>
              </w:rPr>
              <w:fldChar w:fldCharType="begin"/>
            </w:r>
            <w:r>
              <w:rPr>
                <w:noProof/>
                <w:webHidden/>
              </w:rPr>
              <w:instrText xml:space="preserve"> PAGEREF _Toc201763575 \h </w:instrText>
            </w:r>
            <w:r>
              <w:rPr>
                <w:noProof/>
                <w:webHidden/>
              </w:rPr>
            </w:r>
            <w:r>
              <w:rPr>
                <w:noProof/>
                <w:webHidden/>
              </w:rPr>
              <w:fldChar w:fldCharType="separate"/>
            </w:r>
            <w:r>
              <w:rPr>
                <w:noProof/>
                <w:webHidden/>
              </w:rPr>
              <w:t>10</w:t>
            </w:r>
            <w:r>
              <w:rPr>
                <w:noProof/>
                <w:webHidden/>
              </w:rPr>
              <w:fldChar w:fldCharType="end"/>
            </w:r>
          </w:hyperlink>
        </w:p>
        <w:p w14:paraId="755523A6" w14:textId="40A4C58D" w:rsidR="00413FFA" w:rsidRDefault="00413FFA">
          <w:pPr>
            <w:pStyle w:val="TOC2"/>
            <w:tabs>
              <w:tab w:val="right" w:leader="dot" w:pos="9016"/>
            </w:tabs>
            <w:rPr>
              <w:rFonts w:eastAsiaTheme="minorEastAsia"/>
              <w:noProof/>
              <w:sz w:val="24"/>
              <w:szCs w:val="24"/>
              <w:lang w:eastAsia="en-GB"/>
            </w:rPr>
          </w:pPr>
          <w:hyperlink w:anchor="_Toc201763576" w:history="1">
            <w:r w:rsidRPr="00F728E6">
              <w:rPr>
                <w:rStyle w:val="Hyperlink"/>
                <w:noProof/>
              </w:rPr>
              <w:t>Discussion</w:t>
            </w:r>
            <w:r>
              <w:rPr>
                <w:noProof/>
                <w:webHidden/>
              </w:rPr>
              <w:tab/>
            </w:r>
            <w:r>
              <w:rPr>
                <w:noProof/>
                <w:webHidden/>
              </w:rPr>
              <w:fldChar w:fldCharType="begin"/>
            </w:r>
            <w:r>
              <w:rPr>
                <w:noProof/>
                <w:webHidden/>
              </w:rPr>
              <w:instrText xml:space="preserve"> PAGEREF _Toc201763576 \h </w:instrText>
            </w:r>
            <w:r>
              <w:rPr>
                <w:noProof/>
                <w:webHidden/>
              </w:rPr>
            </w:r>
            <w:r>
              <w:rPr>
                <w:noProof/>
                <w:webHidden/>
              </w:rPr>
              <w:fldChar w:fldCharType="separate"/>
            </w:r>
            <w:r>
              <w:rPr>
                <w:noProof/>
                <w:webHidden/>
              </w:rPr>
              <w:t>13</w:t>
            </w:r>
            <w:r>
              <w:rPr>
                <w:noProof/>
                <w:webHidden/>
              </w:rPr>
              <w:fldChar w:fldCharType="end"/>
            </w:r>
          </w:hyperlink>
        </w:p>
        <w:p w14:paraId="5E4590FD" w14:textId="71AFA6D9" w:rsidR="00413FFA" w:rsidRDefault="00413FFA">
          <w:pPr>
            <w:pStyle w:val="TOC2"/>
            <w:tabs>
              <w:tab w:val="right" w:leader="dot" w:pos="9016"/>
            </w:tabs>
            <w:rPr>
              <w:rFonts w:eastAsiaTheme="minorEastAsia"/>
              <w:noProof/>
              <w:sz w:val="24"/>
              <w:szCs w:val="24"/>
              <w:lang w:eastAsia="en-GB"/>
            </w:rPr>
          </w:pPr>
          <w:hyperlink w:anchor="_Toc201763577" w:history="1">
            <w:r w:rsidRPr="00F728E6">
              <w:rPr>
                <w:rStyle w:val="Hyperlink"/>
                <w:noProof/>
              </w:rPr>
              <w:t>Recommendations</w:t>
            </w:r>
            <w:r>
              <w:rPr>
                <w:noProof/>
                <w:webHidden/>
              </w:rPr>
              <w:tab/>
            </w:r>
            <w:r>
              <w:rPr>
                <w:noProof/>
                <w:webHidden/>
              </w:rPr>
              <w:fldChar w:fldCharType="begin"/>
            </w:r>
            <w:r>
              <w:rPr>
                <w:noProof/>
                <w:webHidden/>
              </w:rPr>
              <w:instrText xml:space="preserve"> PAGEREF _Toc201763577 \h </w:instrText>
            </w:r>
            <w:r>
              <w:rPr>
                <w:noProof/>
                <w:webHidden/>
              </w:rPr>
            </w:r>
            <w:r>
              <w:rPr>
                <w:noProof/>
                <w:webHidden/>
              </w:rPr>
              <w:fldChar w:fldCharType="separate"/>
            </w:r>
            <w:r>
              <w:rPr>
                <w:noProof/>
                <w:webHidden/>
              </w:rPr>
              <w:t>16</w:t>
            </w:r>
            <w:r>
              <w:rPr>
                <w:noProof/>
                <w:webHidden/>
              </w:rPr>
              <w:fldChar w:fldCharType="end"/>
            </w:r>
          </w:hyperlink>
        </w:p>
        <w:p w14:paraId="2DD81327" w14:textId="42268DBB" w:rsidR="00413FFA" w:rsidRDefault="00413FFA">
          <w:pPr>
            <w:pStyle w:val="TOC2"/>
            <w:tabs>
              <w:tab w:val="right" w:leader="dot" w:pos="9016"/>
            </w:tabs>
            <w:rPr>
              <w:rFonts w:eastAsiaTheme="minorEastAsia"/>
              <w:noProof/>
              <w:sz w:val="24"/>
              <w:szCs w:val="24"/>
              <w:lang w:eastAsia="en-GB"/>
            </w:rPr>
          </w:pPr>
          <w:hyperlink w:anchor="_Toc201763578" w:history="1">
            <w:r w:rsidRPr="00F728E6">
              <w:rPr>
                <w:rStyle w:val="Hyperlink"/>
                <w:noProof/>
              </w:rPr>
              <w:t>How do these figures differ from the Scottish Government’s Progress Reports?</w:t>
            </w:r>
            <w:r>
              <w:rPr>
                <w:noProof/>
                <w:webHidden/>
              </w:rPr>
              <w:tab/>
            </w:r>
            <w:r>
              <w:rPr>
                <w:noProof/>
                <w:webHidden/>
              </w:rPr>
              <w:fldChar w:fldCharType="begin"/>
            </w:r>
            <w:r>
              <w:rPr>
                <w:noProof/>
                <w:webHidden/>
              </w:rPr>
              <w:instrText xml:space="preserve"> PAGEREF _Toc201763578 \h </w:instrText>
            </w:r>
            <w:r>
              <w:rPr>
                <w:noProof/>
                <w:webHidden/>
              </w:rPr>
            </w:r>
            <w:r>
              <w:rPr>
                <w:noProof/>
                <w:webHidden/>
              </w:rPr>
              <w:fldChar w:fldCharType="separate"/>
            </w:r>
            <w:r>
              <w:rPr>
                <w:noProof/>
                <w:webHidden/>
              </w:rPr>
              <w:t>17</w:t>
            </w:r>
            <w:r>
              <w:rPr>
                <w:noProof/>
                <w:webHidden/>
              </w:rPr>
              <w:fldChar w:fldCharType="end"/>
            </w:r>
          </w:hyperlink>
        </w:p>
        <w:p w14:paraId="55637F75" w14:textId="40EC6B5B" w:rsidR="00413FFA" w:rsidRDefault="00413FFA">
          <w:pPr>
            <w:pStyle w:val="TOC2"/>
            <w:tabs>
              <w:tab w:val="right" w:leader="dot" w:pos="9016"/>
            </w:tabs>
            <w:rPr>
              <w:rFonts w:eastAsiaTheme="minorEastAsia"/>
              <w:noProof/>
              <w:sz w:val="24"/>
              <w:szCs w:val="24"/>
              <w:lang w:eastAsia="en-GB"/>
            </w:rPr>
          </w:pPr>
          <w:hyperlink w:anchor="_Toc201763579" w:history="1">
            <w:r w:rsidRPr="00F728E6">
              <w:rPr>
                <w:rStyle w:val="Hyperlink"/>
                <w:noProof/>
              </w:rPr>
              <w:t>References</w:t>
            </w:r>
            <w:r>
              <w:rPr>
                <w:noProof/>
                <w:webHidden/>
              </w:rPr>
              <w:tab/>
            </w:r>
            <w:r>
              <w:rPr>
                <w:noProof/>
                <w:webHidden/>
              </w:rPr>
              <w:fldChar w:fldCharType="begin"/>
            </w:r>
            <w:r>
              <w:rPr>
                <w:noProof/>
                <w:webHidden/>
              </w:rPr>
              <w:instrText xml:space="preserve"> PAGEREF _Toc201763579 \h </w:instrText>
            </w:r>
            <w:r>
              <w:rPr>
                <w:noProof/>
                <w:webHidden/>
              </w:rPr>
            </w:r>
            <w:r>
              <w:rPr>
                <w:noProof/>
                <w:webHidden/>
              </w:rPr>
              <w:fldChar w:fldCharType="separate"/>
            </w:r>
            <w:r>
              <w:rPr>
                <w:noProof/>
                <w:webHidden/>
              </w:rPr>
              <w:t>20</w:t>
            </w:r>
            <w:r>
              <w:rPr>
                <w:noProof/>
                <w:webHidden/>
              </w:rPr>
              <w:fldChar w:fldCharType="end"/>
            </w:r>
          </w:hyperlink>
        </w:p>
        <w:p w14:paraId="4DD7DAD8" w14:textId="77777777" w:rsidR="00423537" w:rsidRDefault="00176D60">
          <w:pPr>
            <w:rPr>
              <w:b/>
              <w:bCs/>
              <w:noProof/>
            </w:rPr>
          </w:pPr>
          <w:r>
            <w:rPr>
              <w:b/>
              <w:bCs/>
              <w:noProof/>
            </w:rPr>
            <w:fldChar w:fldCharType="end"/>
          </w:r>
        </w:p>
        <w:p w14:paraId="4E03864C" w14:textId="316369A0" w:rsidR="00176D60" w:rsidRDefault="005A4F56"/>
      </w:sdtContent>
    </w:sdt>
    <w:p w14:paraId="7C30BCF3" w14:textId="77777777" w:rsidR="00211C80" w:rsidRDefault="00211C80" w:rsidP="002D7A73">
      <w:pPr>
        <w:pStyle w:val="Heading2"/>
      </w:pPr>
    </w:p>
    <w:p w14:paraId="3FA0CA5C" w14:textId="77777777" w:rsidR="00EE0A96" w:rsidRPr="004B3446" w:rsidRDefault="00EE0A96" w:rsidP="004B3446">
      <w:pPr>
        <w:pStyle w:val="Heading2"/>
      </w:pPr>
      <w:r>
        <w:br w:type="page"/>
      </w:r>
    </w:p>
    <w:p w14:paraId="5FA9EE45" w14:textId="5428E332" w:rsidR="00211C80" w:rsidRDefault="00211C80" w:rsidP="002D7A73">
      <w:pPr>
        <w:pStyle w:val="Heading2"/>
      </w:pPr>
      <w:bookmarkStart w:id="0" w:name="_Toc201763568"/>
      <w:r>
        <w:lastRenderedPageBreak/>
        <w:t>Introduction</w:t>
      </w:r>
      <w:bookmarkEnd w:id="0"/>
    </w:p>
    <w:p w14:paraId="36B30EC1" w14:textId="77777777" w:rsidR="00BC6A5B" w:rsidRDefault="00BC6A5B" w:rsidP="002E41C6"/>
    <w:p w14:paraId="48B8E026" w14:textId="77777777" w:rsidR="000775C2" w:rsidRDefault="00BC6A5B" w:rsidP="002E41C6">
      <w:r>
        <w:t>Tackling Child Poverty is cited as the number one priority of the Scottish Government and a set of statutory targets should b</w:t>
      </w:r>
      <w:r w:rsidR="008032B7">
        <w:t xml:space="preserve">e leading to dramatic falls in child poverty. However, progress has not been as fast as </w:t>
      </w:r>
      <w:r w:rsidR="002A1F02">
        <w:t>hoped</w:t>
      </w:r>
      <w:r w:rsidR="008032B7">
        <w:t>, with the interim targets set for 202</w:t>
      </w:r>
      <w:r w:rsidR="000C2262">
        <w:t>3/</w:t>
      </w:r>
      <w:r w:rsidR="008032B7">
        <w:t>2</w:t>
      </w:r>
      <w:r w:rsidR="000C2262">
        <w:t>4</w:t>
      </w:r>
      <w:r w:rsidR="008032B7">
        <w:t xml:space="preserve"> not met. </w:t>
      </w:r>
      <w:r w:rsidR="000775C2" w:rsidRPr="000775C2">
        <w:t>As we look ahead to the next, and final, child poverty delivery plan due before the end of March 2026, understanding efforts to date on child poverty is crucial to know what has worked, what hasn't, and most importantly, why. The level of fiscal resource allocated towards actions to tackle poverty is a key part of building this understanding.</w:t>
      </w:r>
    </w:p>
    <w:p w14:paraId="691665A9" w14:textId="796859F4" w:rsidR="001205DD" w:rsidRDefault="001205DD" w:rsidP="002E41C6">
      <w:r>
        <w:t>This analysis attempts to piece together outturn expenditure on actions that have been taken forward to dat</w:t>
      </w:r>
      <w:r w:rsidR="000775C2">
        <w:t>e</w:t>
      </w:r>
      <w:r>
        <w:t xml:space="preserve"> on tackling child poverty. </w:t>
      </w:r>
      <w:r w:rsidR="003D3C2C">
        <w:t xml:space="preserve">This builds on and improves the current process of tracking spend in </w:t>
      </w:r>
      <w:r w:rsidR="007661CF">
        <w:t xml:space="preserve">annual progress reports by </w:t>
      </w:r>
      <w:r w:rsidR="00614A77">
        <w:t xml:space="preserve">verifying that the spend has </w:t>
      </w:r>
      <w:proofErr w:type="gramStart"/>
      <w:r w:rsidR="000775C2">
        <w:t xml:space="preserve">actually </w:t>
      </w:r>
      <w:r w:rsidR="00614A77">
        <w:t>taken</w:t>
      </w:r>
      <w:proofErr w:type="gramEnd"/>
      <w:r w:rsidR="00614A77">
        <w:t xml:space="preserve"> place and </w:t>
      </w:r>
      <w:r w:rsidR="00F432C6">
        <w:t>attempts to</w:t>
      </w:r>
      <w:r w:rsidR="00D045C4">
        <w:t xml:space="preserve"> </w:t>
      </w:r>
      <w:r w:rsidR="00614A77">
        <w:t>match spend to</w:t>
      </w:r>
      <w:r w:rsidR="000775C2">
        <w:t xml:space="preserve"> all</w:t>
      </w:r>
      <w:r w:rsidR="00614A77">
        <w:t xml:space="preserve"> actions </w:t>
      </w:r>
      <w:r w:rsidR="00F432C6">
        <w:t>that should be impacting on the drivers of child poverty</w:t>
      </w:r>
      <w:r w:rsidR="000B1DD9">
        <w:t xml:space="preserve">. </w:t>
      </w:r>
    </w:p>
    <w:p w14:paraId="293AAA7E" w14:textId="1479721F" w:rsidR="002E41C6" w:rsidRDefault="002E41C6" w:rsidP="002E41C6">
      <w:r>
        <w:t xml:space="preserve">Our analysis covers the period 2018/19 to 2023/24. The </w:t>
      </w:r>
      <w:r w:rsidR="007661CF">
        <w:t xml:space="preserve">data included </w:t>
      </w:r>
      <w:r>
        <w:t>latest Scottish Government progress report published in June</w:t>
      </w:r>
      <w:r w:rsidR="00D92086">
        <w:t xml:space="preserve"> 2025</w:t>
      </w:r>
      <w:r>
        <w:t xml:space="preserve"> covers 2024/25 and was </w:t>
      </w:r>
      <w:r w:rsidR="007652E2">
        <w:t xml:space="preserve">published </w:t>
      </w:r>
      <w:r>
        <w:t xml:space="preserve">too late to include in this analysis, and indeed too early for outturn data for 2024/25 to be fully available. </w:t>
      </w:r>
      <w:r w:rsidR="00051F53">
        <w:t>However, w</w:t>
      </w:r>
      <w:r w:rsidR="00714292">
        <w:t xml:space="preserve">e have reviewed the 2024/25 progress report and are content that our discussion and recommendations remain </w:t>
      </w:r>
      <w:r w:rsidR="007652E2">
        <w:t>applicable.</w:t>
      </w:r>
      <w:r w:rsidR="00714292">
        <w:t xml:space="preserve"> </w:t>
      </w:r>
    </w:p>
    <w:p w14:paraId="758A10E3" w14:textId="0E111C9A" w:rsidR="008F5D23" w:rsidRDefault="008F5D23" w:rsidP="002E41C6">
      <w:r w:rsidRPr="008F5D23">
        <w:t>This analysis is a collaboration between the Fraser of Allander Institute and the Joseph Rowntree Foundation.</w:t>
      </w:r>
    </w:p>
    <w:p w14:paraId="1A4E7321" w14:textId="1B6A7F7F" w:rsidR="009475BF" w:rsidRPr="00A1751B" w:rsidRDefault="00856C5D" w:rsidP="002D7A73">
      <w:pPr>
        <w:pStyle w:val="Heading2"/>
      </w:pPr>
      <w:bookmarkStart w:id="1" w:name="_Toc201763569"/>
      <w:r w:rsidRPr="00A1751B">
        <w:t>Purpose</w:t>
      </w:r>
      <w:bookmarkEnd w:id="1"/>
    </w:p>
    <w:p w14:paraId="515F3C9A" w14:textId="56441DEE" w:rsidR="00981035" w:rsidRDefault="00981035" w:rsidP="002B4AFB">
      <w:r>
        <w:t xml:space="preserve">The purpose of this analysis </w:t>
      </w:r>
      <w:r w:rsidR="001B4B17">
        <w:t xml:space="preserve">is to </w:t>
      </w:r>
      <w:r>
        <w:t xml:space="preserve">review </w:t>
      </w:r>
      <w:r w:rsidR="00235703">
        <w:t xml:space="preserve">outturn </w:t>
      </w:r>
      <w:r w:rsidR="001D3E0D">
        <w:t xml:space="preserve">expenditure to date by the </w:t>
      </w:r>
      <w:r>
        <w:t xml:space="preserve">Scottish Government </w:t>
      </w:r>
      <w:r w:rsidR="00235703">
        <w:t xml:space="preserve">that corresponds to </w:t>
      </w:r>
      <w:r>
        <w:t>reduc</w:t>
      </w:r>
      <w:r w:rsidR="00235703">
        <w:t>ing</w:t>
      </w:r>
      <w:r>
        <w:t xml:space="preserve"> child poverty in line with the Child Poverty (Scotland) Act 2017. </w:t>
      </w:r>
      <w:r w:rsidR="00AF67CE">
        <w:t xml:space="preserve">This is part of a wider project to help better understand </w:t>
      </w:r>
      <w:r w:rsidR="008B5804">
        <w:t xml:space="preserve">Scottish Government outturn expenditure in recent years. </w:t>
      </w:r>
      <w:r w:rsidR="008F5D23">
        <w:t xml:space="preserve">Further analysis covering the whole Scottish Budget will be </w:t>
      </w:r>
      <w:r w:rsidR="004D5994">
        <w:t xml:space="preserve">published later this year. </w:t>
      </w:r>
    </w:p>
    <w:p w14:paraId="7CFCD4E6" w14:textId="0D01AE97" w:rsidR="003C25B2" w:rsidRDefault="00981035" w:rsidP="002B4AFB">
      <w:r>
        <w:t>This analysis collates</w:t>
      </w:r>
      <w:r w:rsidR="00856C5D">
        <w:t xml:space="preserve"> </w:t>
      </w:r>
      <w:r w:rsidR="00FE5496">
        <w:t xml:space="preserve">available </w:t>
      </w:r>
      <w:r w:rsidR="00856C5D">
        <w:t xml:space="preserve">information on </w:t>
      </w:r>
      <w:r w:rsidR="00197B27">
        <w:t>outturn expenditure</w:t>
      </w:r>
      <w:r w:rsidR="00856C5D">
        <w:t xml:space="preserve"> by the Scottish Government</w:t>
      </w:r>
      <w:r w:rsidR="001D3E0D">
        <w:t xml:space="preserve">, either directly or via third parties (e.g. </w:t>
      </w:r>
      <w:r w:rsidR="003C25B2">
        <w:t>local authorities</w:t>
      </w:r>
      <w:r w:rsidR="001D3E0D">
        <w:t>, charities)</w:t>
      </w:r>
      <w:r w:rsidR="00197B27">
        <w:t>. We have only been able to include information where it is publicly available</w:t>
      </w:r>
      <w:r w:rsidR="00D80A11">
        <w:t xml:space="preserve">, and where we are confident that it corresponds to outturn expenditure. </w:t>
      </w:r>
      <w:r w:rsidR="00B43A05">
        <w:t xml:space="preserve">The degree to which this is possible is </w:t>
      </w:r>
      <w:proofErr w:type="gramStart"/>
      <w:r w:rsidR="00B43A05">
        <w:t>in itself a</w:t>
      </w:r>
      <w:proofErr w:type="gramEnd"/>
      <w:r w:rsidR="00B43A05">
        <w:t xml:space="preserve"> test of the </w:t>
      </w:r>
      <w:r w:rsidR="007F490F">
        <w:t xml:space="preserve">fiscal </w:t>
      </w:r>
      <w:r w:rsidR="00B43A05">
        <w:t xml:space="preserve">transparency of the Scottish Government. </w:t>
      </w:r>
    </w:p>
    <w:p w14:paraId="4CC8F13A" w14:textId="78FBD3BF" w:rsidR="009D65A8" w:rsidRDefault="0010470D" w:rsidP="002B4AFB">
      <w:r>
        <w:t xml:space="preserve">We are focussed on spending that the Scottish Government has </w:t>
      </w:r>
      <w:r w:rsidR="00D10C50">
        <w:t xml:space="preserve">itself </w:t>
      </w:r>
      <w:r w:rsidR="00543ACB">
        <w:t xml:space="preserve">designated as spend that will contribute towards meeting the statutory child poverty targets, either as part of </w:t>
      </w:r>
      <w:r w:rsidR="002E664D">
        <w:t>the two tackling child poverty delivery plans (Every Child, Every Chance</w:t>
      </w:r>
      <w:r w:rsidR="00BE0D3D">
        <w:t xml:space="preserve"> </w:t>
      </w:r>
      <w:r w:rsidR="00422ABD">
        <w:fldChar w:fldCharType="begin"/>
      </w:r>
      <w:r w:rsidR="00BE0D3D">
        <w:instrText xml:space="preserve"> ADDIN EN.CITE &lt;EndNote&gt;&lt;Cite&gt;&lt;Author&gt;Government&lt;/Author&gt;&lt;Year&gt;2018&lt;/Year&gt;&lt;RecNum&gt;186&lt;/RecNum&gt;&lt;DisplayText&gt;(1)&lt;/DisplayText&gt;&lt;record&gt;&lt;rec-number&gt;186&lt;/rec-number&gt;&lt;foreign-keys&gt;&lt;key app="EN" db-id="wwx2fs9t4eep51e9ewcxfs9msx0rxwf9dsv2" timestamp="1748688902"&gt;186&lt;/key&gt;&lt;/foreign-keys&gt;&lt;ref-type name="Web Page"&gt;12&lt;/ref-type&gt;&lt;contributors&gt;&lt;authors&gt;&lt;author&gt;Scottish Government &lt;/author&gt;&lt;/authors&gt;&lt;/contributors&gt;&lt;titles&gt;&lt;title&gt;Every Child, Every Chance Tackling Child Poverty Delivery Plan (2018-2022)&lt;/title&gt;&lt;/titles&gt;&lt;dates&gt;&lt;year&gt;2018&lt;/year&gt;&lt;/dates&gt;&lt;urls&gt;&lt;related-urls&gt;&lt;url&gt;https://www.gov.scot/binaries/content/documents/govscot/publications/strategy-plan/2018/03/child-chance-tackling-child-poverty-delivery-plan-2018-22/documents/00533606-pdf/00533606-pdf/govscot%3Adocument/00533606.pdf&lt;/url&gt;&lt;/related-urls&gt;&lt;/urls&gt;&lt;/record&gt;&lt;/Cite&gt;&lt;/EndNote&gt;</w:instrText>
      </w:r>
      <w:r w:rsidR="00422ABD">
        <w:fldChar w:fldCharType="separate"/>
      </w:r>
      <w:r w:rsidR="00422ABD">
        <w:rPr>
          <w:noProof/>
        </w:rPr>
        <w:t>(1)</w:t>
      </w:r>
      <w:r w:rsidR="00422ABD">
        <w:fldChar w:fldCharType="end"/>
      </w:r>
      <w:r w:rsidR="002E664D">
        <w:t xml:space="preserve"> and Best Start, Bright Futures</w:t>
      </w:r>
      <w:r w:rsidR="00422ABD">
        <w:t xml:space="preserve"> </w:t>
      </w:r>
      <w:r w:rsidR="00422ABD">
        <w:fldChar w:fldCharType="begin"/>
      </w:r>
      <w:r w:rsidR="00BE0D3D">
        <w:instrText xml:space="preserve"> ADDIN EN.CITE &lt;EndNote&gt;&lt;Cite&gt;&lt;Author&gt;Government&lt;/Author&gt;&lt;Year&gt;2022&lt;/Year&gt;&lt;RecNum&gt;187&lt;/RecNum&gt;&lt;DisplayText&gt;(2)&lt;/DisplayText&gt;&lt;record&gt;&lt;rec-number&gt;187&lt;/rec-number&gt;&lt;foreign-keys&gt;&lt;key app="EN" db-id="wwx2fs9t4eep51e9ewcxfs9msx0rxwf9dsv2" timestamp="1748688943"&gt;187&lt;/key&gt;&lt;/foreign-keys&gt;&lt;ref-type name="Web Page"&gt;12&lt;/ref-type&gt;&lt;contributors&gt;&lt;authors&gt;&lt;author&gt;Scottish Government&lt;/author&gt;&lt;/authors&gt;&lt;/contributors&gt;&lt;titles&gt;&lt;title&gt;Best Start, Bright Futures Tackling Child Poverty Delivery Plan (2022-2026)&lt;/title&gt;&lt;/titles&gt;&lt;dates&gt;&lt;year&gt;2022&lt;/year&gt;&lt;/dates&gt;&lt;urls&gt;&lt;related-urls&gt;&lt;url&gt;https://www.gov.scot/binaries/content/documents/govscot/publications/strategy-plan/2022/03/best-start-bright-futures-tackling-child-poverty-delivery-plan-2022-26/documents/best-start-bright-futures-tackling-child-poverty-delivery-plan-2022-2026/best-start-bright-futures-tackling-child-poverty-delivery-plan-2022-2026/govscot%3Adocument/best-start-bright-futures-tackling-child-poverty-delivery-plan-2022-2026.pdf&lt;/url&gt;&lt;/related-urls&gt;&lt;/urls&gt;&lt;/record&gt;&lt;/Cite&gt;&lt;/EndNote&gt;</w:instrText>
      </w:r>
      <w:r w:rsidR="00422ABD">
        <w:fldChar w:fldCharType="separate"/>
      </w:r>
      <w:r w:rsidR="00422ABD">
        <w:rPr>
          <w:noProof/>
        </w:rPr>
        <w:t>(2)</w:t>
      </w:r>
      <w:r w:rsidR="00422ABD">
        <w:fldChar w:fldCharType="end"/>
      </w:r>
      <w:r w:rsidR="002E664D">
        <w:t>)</w:t>
      </w:r>
      <w:r w:rsidR="00422ABD">
        <w:t xml:space="preserve"> </w:t>
      </w:r>
      <w:r w:rsidR="003A6135">
        <w:t>or as part of</w:t>
      </w:r>
      <w:r w:rsidR="00422ABD">
        <w:t xml:space="preserve"> any additional measures added to the tables of actions in the annual progress reports</w:t>
      </w:r>
      <w:r w:rsidR="00BE0D3D">
        <w:t xml:space="preserve"> </w:t>
      </w:r>
      <w:r w:rsidR="00BE0D3D">
        <w:fldChar w:fldCharType="begin">
          <w:fldData xml:space="preserve">PEVuZE5vdGU+PENpdGU+PEF1dGhvcj5Hb3Zlcm5tZW50PC9BdXRob3I+PFllYXI+MjAxOTwvWWVh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</w:fldData>
        </w:fldChar>
      </w:r>
      <w:r w:rsidR="00BE0D3D">
        <w:instrText xml:space="preserve"> ADDIN EN.CITE </w:instrText>
      </w:r>
      <w:r w:rsidR="00BE0D3D">
        <w:fldChar w:fldCharType="begin">
          <w:fldData xml:space="preserve">PEVuZE5vdGU+PENpdGU+PEF1dGhvcj5Hb3Zlcm5tZW50PC9BdXRob3I+PFllYXI+MjAxOTwvWWVh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</w:fldData>
        </w:fldChar>
      </w:r>
      <w:r w:rsidR="00BE0D3D">
        <w:instrText xml:space="preserve"> ADDIN EN.CITE.DATA </w:instrText>
      </w:r>
      <w:r w:rsidR="00BE0D3D">
        <w:fldChar w:fldCharType="end"/>
      </w:r>
      <w:r w:rsidR="00BE0D3D">
        <w:fldChar w:fldCharType="separate"/>
      </w:r>
      <w:r w:rsidR="00BE0D3D">
        <w:rPr>
          <w:noProof/>
        </w:rPr>
        <w:t>(3-8)</w:t>
      </w:r>
      <w:r w:rsidR="00BE0D3D">
        <w:fldChar w:fldCharType="end"/>
      </w:r>
      <w:r w:rsidR="00422ABD">
        <w:t xml:space="preserve">. </w:t>
      </w:r>
    </w:p>
    <w:p w14:paraId="38377314" w14:textId="0301AE6F" w:rsidR="004363F7" w:rsidRDefault="007F490F" w:rsidP="00321F8A">
      <w:r>
        <w:t>We had hoped that this</w:t>
      </w:r>
      <w:r w:rsidR="00F20D77">
        <w:t xml:space="preserve"> analysis w</w:t>
      </w:r>
      <w:r>
        <w:t>ould</w:t>
      </w:r>
      <w:r w:rsidR="00F20D77">
        <w:t xml:space="preserve"> help </w:t>
      </w:r>
      <w:r w:rsidR="007E0FF1">
        <w:t xml:space="preserve">with </w:t>
      </w:r>
      <w:r>
        <w:t>gaining</w:t>
      </w:r>
      <w:r w:rsidR="007E0FF1">
        <w:t xml:space="preserve"> a better understanding of expenditure on child poverty since the passing of the Child Poverty Act</w:t>
      </w:r>
      <w:r>
        <w:t xml:space="preserve">. However, </w:t>
      </w:r>
      <w:r w:rsidR="00E1091E">
        <w:t xml:space="preserve">issues with accessing publicly available information on outturn expenditure has meant that we only have a partial picture of spend. We therefore also </w:t>
      </w:r>
      <w:r w:rsidR="007E0FF1">
        <w:t xml:space="preserve">provide </w:t>
      </w:r>
      <w:r w:rsidR="00023C8E">
        <w:t xml:space="preserve">recommendations on how to improve transparency </w:t>
      </w:r>
      <w:r w:rsidR="004363F7">
        <w:t xml:space="preserve">to enable better monitoring and scrutiny of expenditure related to child poverty. </w:t>
      </w:r>
    </w:p>
    <w:p w14:paraId="2B9CD1EE" w14:textId="3134B680" w:rsidR="00E0052E" w:rsidRDefault="001D3E0D" w:rsidP="002D7A73">
      <w:pPr>
        <w:pStyle w:val="Heading2"/>
      </w:pPr>
      <w:bookmarkStart w:id="2" w:name="_Toc201763570"/>
      <w:r>
        <w:lastRenderedPageBreak/>
        <w:t>Method</w:t>
      </w:r>
      <w:r w:rsidR="00136494">
        <w:t>ology</w:t>
      </w:r>
      <w:bookmarkEnd w:id="2"/>
    </w:p>
    <w:p w14:paraId="12446BC6" w14:textId="70E7BBDC" w:rsidR="00F20D77" w:rsidRDefault="00136494" w:rsidP="00F20D77">
      <w:r>
        <w:t xml:space="preserve">The analysis in this report is focussed on expenditure </w:t>
      </w:r>
      <w:r w:rsidR="00CC7FFD">
        <w:t xml:space="preserve">by Scottish Government, regardless of the delivery mechanism. </w:t>
      </w:r>
      <w:r w:rsidR="002F40C2">
        <w:t>T</w:t>
      </w:r>
      <w:r w:rsidR="00F20D77">
        <w:t>his report includes</w:t>
      </w:r>
      <w:r w:rsidR="00CC7FFD">
        <w:t xml:space="preserve"> outturn</w:t>
      </w:r>
      <w:r w:rsidR="00F20D77">
        <w:t xml:space="preserve"> expenditure where we are confident that this money has left the Scottish Government. This may </w:t>
      </w:r>
      <w:r w:rsidR="002C6200">
        <w:t>be from money that has been passed to</w:t>
      </w:r>
      <w:r w:rsidR="00F20D77">
        <w:t xml:space="preserve"> local authorities or grants to </w:t>
      </w:r>
      <w:r w:rsidR="00B77884">
        <w:t xml:space="preserve">the </w:t>
      </w:r>
      <w:r w:rsidR="00F20D77">
        <w:t xml:space="preserve">third sector. However, we are not including figures unless we can be confident that this transfer has occurred. Announcements of funds and budget allocations </w:t>
      </w:r>
      <w:r w:rsidR="00B77884">
        <w:t>do</w:t>
      </w:r>
      <w:r w:rsidR="00F20D77">
        <w:t xml:space="preserve"> not always mean that </w:t>
      </w:r>
      <w:r w:rsidR="00CC7FFD">
        <w:t>the money leaves the Scottish Government</w:t>
      </w:r>
      <w:r w:rsidR="00F20D77">
        <w:t xml:space="preserve">. </w:t>
      </w:r>
      <w:r w:rsidR="00CC7FFD">
        <w:t xml:space="preserve">Whilst we have tried </w:t>
      </w:r>
      <w:r w:rsidR="002C6200">
        <w:t>to follow the money as closely as possible, we think t</w:t>
      </w:r>
      <w:r w:rsidR="00F20D77">
        <w:t>here may be instances where money has been recouped by the Scottish Government</w:t>
      </w:r>
      <w:r w:rsidR="00502312">
        <w:t xml:space="preserve"> (for example, after initial allocations have been set) that we</w:t>
      </w:r>
      <w:r w:rsidR="00F20D77">
        <w:t xml:space="preserve"> have not been able to take account of. </w:t>
      </w:r>
    </w:p>
    <w:p w14:paraId="58CDE798" w14:textId="051ED9DE" w:rsidR="00BF3F81" w:rsidRDefault="00BF3F81" w:rsidP="00BF3F81">
      <w:r>
        <w:t>To be included in this analysis, expenditure needs to relate to an action</w:t>
      </w:r>
      <w:r w:rsidR="00821834">
        <w:t xml:space="preserve"> to tackle child poverty</w:t>
      </w:r>
      <w:r>
        <w:t>.</w:t>
      </w:r>
      <w:r w:rsidR="00821834">
        <w:t xml:space="preserve"> This means that they relate to drivers of child poverty, either through income or reducing the cost of living. </w:t>
      </w:r>
      <w:r>
        <w:t xml:space="preserve"> These are listed in each progress report </w:t>
      </w:r>
      <w:r w:rsidR="0007021E">
        <w:t xml:space="preserve">in tables titled ‘Progress </w:t>
      </w:r>
      <w:r w:rsidR="0087092D">
        <w:t>a</w:t>
      </w:r>
      <w:r w:rsidR="0007021E">
        <w:t xml:space="preserve">gainst </w:t>
      </w:r>
      <w:r w:rsidR="0087092D">
        <w:t>a</w:t>
      </w:r>
      <w:r w:rsidR="0007021E">
        <w:t>ctions</w:t>
      </w:r>
      <w:r w:rsidR="0087092D">
        <w:t xml:space="preserve"> </w:t>
      </w:r>
      <w:r w:rsidR="0087092D" w:rsidRPr="0087092D">
        <w:t>and impact on priority families’</w:t>
      </w:r>
      <w:r w:rsidR="00963E0B">
        <w:t xml:space="preserve"> in the 2018/19, 2019/20, 2020/21 and 2021/22 progress reports, </w:t>
      </w:r>
      <w:r w:rsidR="009512D9">
        <w:t>and ‘Overview of progress’ in the 2022/23 and 2023/24 progress report</w:t>
      </w:r>
      <w:r w:rsidR="00B77884">
        <w:t>s</w:t>
      </w:r>
      <w:r w:rsidR="009512D9">
        <w:t xml:space="preserve">. </w:t>
      </w:r>
    </w:p>
    <w:p w14:paraId="0C347DC7" w14:textId="0303B9CD" w:rsidR="0037372B" w:rsidRDefault="0037372B" w:rsidP="00BF3F81">
      <w:r>
        <w:t xml:space="preserve">We are not including actions that are within </w:t>
      </w:r>
      <w:r w:rsidR="003B3E3D">
        <w:t xml:space="preserve">Every Child, Every Chance </w:t>
      </w:r>
      <w:r w:rsidR="004A7216">
        <w:t xml:space="preserve">Chapter 5 ‘Helping Families in Other Ways’ </w:t>
      </w:r>
      <w:r w:rsidR="003B3E3D">
        <w:t>or Best Start, Bright Futures Part C</w:t>
      </w:r>
      <w:r w:rsidR="00D43E4E">
        <w:t xml:space="preserve"> ‘Supporting the Next Generation to Thrive’. </w:t>
      </w:r>
      <w:r w:rsidR="007559CC">
        <w:t xml:space="preserve">The actions in these parts of the delivery plans </w:t>
      </w:r>
      <w:r w:rsidR="00ED18D3">
        <w:t xml:space="preserve">do not directly impact on the drivers of poverty </w:t>
      </w:r>
      <w:r w:rsidR="00EA29EC">
        <w:t xml:space="preserve">within the time frame of the </w:t>
      </w:r>
      <w:r w:rsidR="00ED18D3">
        <w:t>statutory targets</w:t>
      </w:r>
      <w:r w:rsidR="00B77884">
        <w:t xml:space="preserve">. </w:t>
      </w:r>
    </w:p>
    <w:p w14:paraId="7CBB440E" w14:textId="45E8E4BC" w:rsidR="001D3E0D" w:rsidRDefault="001D3E0D" w:rsidP="001D3E0D">
      <w:pPr>
        <w:pStyle w:val="Heading3"/>
      </w:pPr>
      <w:bookmarkStart w:id="3" w:name="_Toc201763571"/>
      <w:r>
        <w:t>Intended method</w:t>
      </w:r>
      <w:bookmarkEnd w:id="3"/>
    </w:p>
    <w:p w14:paraId="41820BA4" w14:textId="71F0C6D2" w:rsidR="008F2A1D" w:rsidRPr="008F2A1D" w:rsidRDefault="008F2A1D" w:rsidP="008F2A1D">
      <w:pPr>
        <w:pStyle w:val="Heading4"/>
      </w:pPr>
      <w:r>
        <w:t>Scottish Government designated spend</w:t>
      </w:r>
    </w:p>
    <w:p w14:paraId="06847F32" w14:textId="42069644" w:rsidR="008F2A1D" w:rsidRDefault="00A31510" w:rsidP="008F2A1D">
      <w:r>
        <w:t>Our intended method was to utilise th</w:t>
      </w:r>
      <w:r w:rsidR="00301EF9">
        <w:t xml:space="preserve">e </w:t>
      </w:r>
      <w:r w:rsidR="00F51576">
        <w:t>Online System for Central Accounting and Reporting (OSCA</w:t>
      </w:r>
      <w:r w:rsidR="00F56627">
        <w:t>R</w:t>
      </w:r>
      <w:r w:rsidR="0055230A">
        <w:t>), a</w:t>
      </w:r>
      <w:r w:rsidR="00F56627" w:rsidRPr="00F56627">
        <w:t xml:space="preserve"> UK Government database and financial management system used by HM Treasury to collect, consolidate, and report </w:t>
      </w:r>
      <w:r w:rsidR="00B77884">
        <w:t>UK and devolved</w:t>
      </w:r>
      <w:r w:rsidR="00F56627" w:rsidRPr="00F56627">
        <w:t xml:space="preserve"> </w:t>
      </w:r>
      <w:r w:rsidR="00B77884">
        <w:t xml:space="preserve">governments’ </w:t>
      </w:r>
      <w:r w:rsidR="00F56627" w:rsidRPr="00F56627">
        <w:t>expenditure data.</w:t>
      </w:r>
      <w:r w:rsidR="00F56627">
        <w:t xml:space="preserve"> </w:t>
      </w:r>
    </w:p>
    <w:p w14:paraId="4EDCEB56" w14:textId="084477ED" w:rsidR="008F2A1D" w:rsidRDefault="008F2A1D" w:rsidP="008F2A1D">
      <w:r>
        <w:t xml:space="preserve">This data provides descriptions of </w:t>
      </w:r>
      <w:r w:rsidR="00215EBF">
        <w:t>expenditure</w:t>
      </w:r>
      <w:r w:rsidR="00AE59BE">
        <w:t xml:space="preserve"> and details including the type</w:t>
      </w:r>
      <w:r w:rsidR="00EF103B">
        <w:t xml:space="preserve"> (</w:t>
      </w:r>
      <w:r w:rsidR="00B77884">
        <w:t xml:space="preserve">e.g. </w:t>
      </w:r>
      <w:r w:rsidR="00EF103B">
        <w:t>revenue/capital) and category</w:t>
      </w:r>
      <w:r w:rsidR="00AE59BE">
        <w:t xml:space="preserve"> </w:t>
      </w:r>
      <w:r w:rsidR="00EF103B">
        <w:t>(e.g. pay, rental costs,</w:t>
      </w:r>
      <w:r w:rsidR="00B77F2A">
        <w:t xml:space="preserve"> current spend) and the delivery mechanism </w:t>
      </w:r>
      <w:r w:rsidR="00AE59BE">
        <w:t>(e.g. grants to local authoritie</w:t>
      </w:r>
      <w:r w:rsidR="00E1086D">
        <w:t>s</w:t>
      </w:r>
      <w:r w:rsidR="00825B43">
        <w:t xml:space="preserve">, transfers to households, </w:t>
      </w:r>
      <w:r w:rsidR="004D77EB">
        <w:t>lending to the private sector</w:t>
      </w:r>
      <w:r w:rsidR="00E1086D">
        <w:t xml:space="preserve">). </w:t>
      </w:r>
    </w:p>
    <w:p w14:paraId="2002A433" w14:textId="10CA3F33" w:rsidR="00F17A67" w:rsidRDefault="00F56627" w:rsidP="008F2A1D">
      <w:r>
        <w:t xml:space="preserve">The Scottish </w:t>
      </w:r>
      <w:r w:rsidR="00640AEF">
        <w:t xml:space="preserve">Government provides </w:t>
      </w:r>
      <w:r w:rsidR="0007536B">
        <w:t xml:space="preserve">expenditure data to </w:t>
      </w:r>
      <w:r w:rsidR="00B77884">
        <w:t>HMT</w:t>
      </w:r>
      <w:r w:rsidR="0007536B">
        <w:t xml:space="preserve"> for the purposes of OSCAR,</w:t>
      </w:r>
      <w:r w:rsidR="0032028E">
        <w:t xml:space="preserve"> and we had hoped that the </w:t>
      </w:r>
      <w:r w:rsidR="00F17A67">
        <w:t>same level of detail</w:t>
      </w:r>
      <w:r w:rsidR="00B77884">
        <w:t xml:space="preserve"> as found for UK government departments</w:t>
      </w:r>
      <w:r w:rsidR="00F17A67">
        <w:t xml:space="preserve"> would be available for analysing spend in Scotland. </w:t>
      </w:r>
      <w:r w:rsidR="0032028E">
        <w:t xml:space="preserve">This would have meant that every line of spend would be broken down with a </w:t>
      </w:r>
      <w:r w:rsidR="00F17A67">
        <w:t>helpful</w:t>
      </w:r>
      <w:r w:rsidR="0032028E">
        <w:t xml:space="preserve"> descript</w:t>
      </w:r>
      <w:r w:rsidR="00F17A67">
        <w:t>or</w:t>
      </w:r>
      <w:r w:rsidR="0032028E">
        <w:t xml:space="preserve">, that we could then trace through to </w:t>
      </w:r>
      <w:r w:rsidR="00B77884">
        <w:t>actions</w:t>
      </w:r>
      <w:r w:rsidR="0032028E">
        <w:t xml:space="preserve"> in the child poverty delivery plan</w:t>
      </w:r>
      <w:r w:rsidR="00B77884">
        <w:t>s</w:t>
      </w:r>
      <w:r w:rsidR="0032028E">
        <w:t xml:space="preserve">. </w:t>
      </w:r>
    </w:p>
    <w:p w14:paraId="513B85AB" w14:textId="0865E087" w:rsidR="006C36DC" w:rsidRDefault="004D313F" w:rsidP="008F2A1D">
      <w:r>
        <w:t>However, o</w:t>
      </w:r>
      <w:r w:rsidR="002A3F2E">
        <w:t xml:space="preserve">n further examination, </w:t>
      </w:r>
      <w:r w:rsidR="00502312">
        <w:t>the disaggregation of spend</w:t>
      </w:r>
      <w:r>
        <w:t xml:space="preserve"> provided </w:t>
      </w:r>
      <w:r w:rsidR="00502312">
        <w:t>by the</w:t>
      </w:r>
      <w:r>
        <w:t xml:space="preserve"> Scottish Government </w:t>
      </w:r>
      <w:r w:rsidR="00502312">
        <w:t>to HMT for the purposes of</w:t>
      </w:r>
      <w:r>
        <w:t xml:space="preserve"> OSCAR </w:t>
      </w:r>
      <w:r w:rsidR="00502312">
        <w:t>is less detailed than</w:t>
      </w:r>
      <w:r>
        <w:t xml:space="preserve"> the case for UK Government departments.</w:t>
      </w:r>
      <w:r w:rsidR="00663E51">
        <w:t xml:space="preserve"> </w:t>
      </w:r>
      <w:r w:rsidR="00B60CE7">
        <w:t xml:space="preserve">This meant that the OSCAR dataset </w:t>
      </w:r>
      <w:r w:rsidR="009E410E">
        <w:t xml:space="preserve">couldn’t be used, as hoped, for this analysis. </w:t>
      </w:r>
      <w:r w:rsidR="00ED430B">
        <w:t xml:space="preserve">We also </w:t>
      </w:r>
      <w:r w:rsidR="00502312">
        <w:t>found</w:t>
      </w:r>
      <w:r w:rsidR="00ED430B">
        <w:t xml:space="preserve"> that, even </w:t>
      </w:r>
      <w:r w:rsidR="00B77884">
        <w:t>where there</w:t>
      </w:r>
      <w:r w:rsidR="00ED430B">
        <w:t xml:space="preserve"> was </w:t>
      </w:r>
      <w:r w:rsidR="00B04F67">
        <w:t>comparable</w:t>
      </w:r>
      <w:r w:rsidR="00ED430B">
        <w:t xml:space="preserve"> </w:t>
      </w:r>
      <w:r w:rsidR="00502312">
        <w:t>disaggregation of data</w:t>
      </w:r>
      <w:r w:rsidR="00ED430B">
        <w:t xml:space="preserve"> in the OSCAR dataset for Scotland, some </w:t>
      </w:r>
      <w:r w:rsidR="00B77884">
        <w:t xml:space="preserve">of </w:t>
      </w:r>
      <w:r w:rsidR="00E31828">
        <w:t xml:space="preserve">the relatively small amounts of spend linked to some of </w:t>
      </w:r>
      <w:r w:rsidR="00422827">
        <w:t>the child poverty</w:t>
      </w:r>
      <w:r w:rsidR="00E31828">
        <w:t xml:space="preserve"> actions would not be captured in subsegments. </w:t>
      </w:r>
    </w:p>
    <w:p w14:paraId="1696CDF6" w14:textId="47635869" w:rsidR="002A66A0" w:rsidRDefault="002A66A0" w:rsidP="008F2A1D">
      <w:r>
        <w:t xml:space="preserve">There are also other instances where specific subsegments do exist and can be easily identified, such as for some social security payments. However, the data in OSCAR is </w:t>
      </w:r>
      <w:r>
        <w:lastRenderedPageBreak/>
        <w:t>inconsistent with other published data sources, such as statistics on spend published by Social Security Scotland</w:t>
      </w:r>
      <w:r w:rsidR="001D2FE0">
        <w:t xml:space="preserve"> (SSS)</w:t>
      </w:r>
      <w:r>
        <w:t xml:space="preserve">. </w:t>
      </w:r>
    </w:p>
    <w:p w14:paraId="67E710AD" w14:textId="1635C7A8" w:rsidR="008F2A1D" w:rsidRDefault="008F2A1D" w:rsidP="008F2A1D">
      <w:pPr>
        <w:pStyle w:val="Heading4"/>
      </w:pPr>
      <w:r>
        <w:t>Additional local government spend</w:t>
      </w:r>
    </w:p>
    <w:p w14:paraId="74173FB4" w14:textId="1B0BE600" w:rsidR="00420316" w:rsidRDefault="004B28C7" w:rsidP="002B4AFB">
      <w:r>
        <w:t xml:space="preserve">Our intention had been to augment the OSCAR analysis with detail from Local Financial Returns (LFRs) to provide </w:t>
      </w:r>
      <w:r w:rsidR="00155527">
        <w:t xml:space="preserve">detail of </w:t>
      </w:r>
      <w:r w:rsidR="00D920EB">
        <w:t xml:space="preserve">income received by </w:t>
      </w:r>
      <w:r w:rsidR="00155527">
        <w:t>local government funded through specific (and sometimes ringfenced) grants</w:t>
      </w:r>
      <w:r w:rsidR="00684192">
        <w:t xml:space="preserve">. </w:t>
      </w:r>
      <w:r w:rsidR="00420316">
        <w:t xml:space="preserve">For the most part, local government reporting through LFRs has been detailed enough for this purpose, with a few notable exceptions </w:t>
      </w:r>
      <w:r w:rsidR="00155527">
        <w:t xml:space="preserve">including the recording of expenditure on local employability programmes. This is discussed later in this paper. </w:t>
      </w:r>
    </w:p>
    <w:p w14:paraId="7103CA71" w14:textId="3E0F35D1" w:rsidR="004B28C7" w:rsidRDefault="00E0052E" w:rsidP="001D3E0D">
      <w:pPr>
        <w:pStyle w:val="Heading3"/>
      </w:pPr>
      <w:bookmarkStart w:id="4" w:name="_Toc201763572"/>
      <w:r>
        <w:t>Amended method</w:t>
      </w:r>
      <w:bookmarkEnd w:id="4"/>
    </w:p>
    <w:p w14:paraId="3294CD8E" w14:textId="494384EB" w:rsidR="00702A1C" w:rsidRDefault="00642BE2" w:rsidP="002C35FD">
      <w:r>
        <w:t>To overcome the limitations of the Scottish data available from the OSCAR dataset</w:t>
      </w:r>
      <w:r w:rsidR="00895EDF">
        <w:t xml:space="preserve"> and to provide the necessary level of detail, </w:t>
      </w:r>
      <w:r w:rsidR="00567F94">
        <w:t>we have</w:t>
      </w:r>
      <w:r w:rsidR="00895EDF">
        <w:t xml:space="preserve"> followed a </w:t>
      </w:r>
      <w:r w:rsidR="00A92F82">
        <w:t>bottom-up</w:t>
      </w:r>
      <w:r w:rsidR="00895EDF">
        <w:t xml:space="preserve"> approach and sought </w:t>
      </w:r>
      <w:r w:rsidR="00CC78A2">
        <w:t xml:space="preserve">outturn </w:t>
      </w:r>
      <w:r w:rsidR="00895EDF">
        <w:t>spend information</w:t>
      </w:r>
      <w:r w:rsidR="00CC78A2">
        <w:t xml:space="preserve"> from a range of sources</w:t>
      </w:r>
      <w:r w:rsidR="002F0592">
        <w:t xml:space="preserve">. </w:t>
      </w:r>
    </w:p>
    <w:p w14:paraId="4810C438" w14:textId="048F12D3" w:rsidR="00861CBC" w:rsidRDefault="002F0592" w:rsidP="002C35FD">
      <w:r>
        <w:t>Progress reports</w:t>
      </w:r>
      <w:r w:rsidR="002F100F">
        <w:t xml:space="preserve"> provide </w:t>
      </w:r>
      <w:r w:rsidR="00702A1C">
        <w:t>some</w:t>
      </w:r>
      <w:r w:rsidR="002F100F">
        <w:t xml:space="preserve"> figures related to </w:t>
      </w:r>
      <w:r w:rsidR="00B77884">
        <w:t>actions</w:t>
      </w:r>
      <w:r w:rsidR="002F100F">
        <w:t xml:space="preserve">, but </w:t>
      </w:r>
      <w:r w:rsidR="002F100F" w:rsidRPr="00806975">
        <w:t xml:space="preserve">according to the Scottish Government, </w:t>
      </w:r>
      <w:r w:rsidR="00806975">
        <w:t>t</w:t>
      </w:r>
      <w:r w:rsidR="002F100F" w:rsidRPr="00806975">
        <w:t>hey comprise a mixture of outturn, budgeted, and forecasted figures, depending on what was available at the time</w:t>
      </w:r>
      <w:r w:rsidR="00D21989">
        <w:t xml:space="preserve"> of writing</w:t>
      </w:r>
      <w:r w:rsidR="00806975">
        <w:t xml:space="preserve">. </w:t>
      </w:r>
      <w:r w:rsidR="00155527">
        <w:t xml:space="preserve">However, </w:t>
      </w:r>
      <w:r w:rsidR="002927A7">
        <w:t xml:space="preserve">it </w:t>
      </w:r>
      <w:r w:rsidR="005F5BE8">
        <w:t xml:space="preserve">is not always clear from the progress reports </w:t>
      </w:r>
      <w:r w:rsidR="00764CA2">
        <w:t>which figures are outturn</w:t>
      </w:r>
      <w:r w:rsidR="005F5BE8">
        <w:t xml:space="preserve">, and we have therefore sought </w:t>
      </w:r>
      <w:r w:rsidR="002C35FD">
        <w:t>to triangulate figures using other sources, including</w:t>
      </w:r>
      <w:r w:rsidR="00507F01">
        <w:t xml:space="preserve"> evaluation reports, </w:t>
      </w:r>
      <w:r w:rsidR="00764CA2">
        <w:t xml:space="preserve">audited </w:t>
      </w:r>
      <w:r w:rsidR="00507F01">
        <w:t xml:space="preserve">accounts of third sector organisations and </w:t>
      </w:r>
      <w:r w:rsidR="00B77884">
        <w:t xml:space="preserve">published </w:t>
      </w:r>
      <w:r w:rsidR="00507F01">
        <w:t>FOI</w:t>
      </w:r>
      <w:r w:rsidR="00B77884">
        <w:t xml:space="preserve"> responses</w:t>
      </w:r>
      <w:r w:rsidR="00507F01">
        <w:t>.</w:t>
      </w:r>
      <w:r w:rsidR="00113AF1">
        <w:t xml:space="preserve"> </w:t>
      </w:r>
      <w:r w:rsidR="007B395D">
        <w:t xml:space="preserve">For social security policies, we only include spend above the Block Grant Adjustment to better capture spend that is allocated from within the Scottish Budget. More information on how our approach how differs from existing analysis produced by the Scottish Government is covered later in this report. </w:t>
      </w:r>
    </w:p>
    <w:p w14:paraId="71E215C5" w14:textId="77777777" w:rsidR="00704C09" w:rsidRDefault="005F0A77" w:rsidP="002B4AFB">
      <w:r>
        <w:t xml:space="preserve">We have not been able to </w:t>
      </w:r>
      <w:r w:rsidR="004D31EC">
        <w:t>locate</w:t>
      </w:r>
      <w:r>
        <w:t xml:space="preserve"> outturn expenditure for every policy where spend has taken place</w:t>
      </w:r>
      <w:r w:rsidR="00E6073D">
        <w:t xml:space="preserve"> but for those actions</w:t>
      </w:r>
      <w:r w:rsidR="000C75A2">
        <w:t xml:space="preserve"> where we have </w:t>
      </w:r>
      <w:r w:rsidR="00537B16">
        <w:t xml:space="preserve">found outturn expenditure, </w:t>
      </w:r>
      <w:r w:rsidR="0058139C">
        <w:t>w</w:t>
      </w:r>
      <w:r w:rsidR="00233173">
        <w:t>e</w:t>
      </w:r>
      <w:r w:rsidR="00537B16">
        <w:t xml:space="preserve"> sum these figures to</w:t>
      </w:r>
      <w:r w:rsidR="00233173">
        <w:t xml:space="preserve"> provide a range estimate, with the lower estimate representing actions where tackling child poverty is the primary aim of the policy, and the upper range representing actions where tackling child poverty is a </w:t>
      </w:r>
      <w:r w:rsidR="007A3486">
        <w:t>secondary</w:t>
      </w:r>
      <w:r w:rsidR="00D21989">
        <w:t>, or indirect,</w:t>
      </w:r>
      <w:r w:rsidR="007A3486">
        <w:t xml:space="preserve"> aim of the policy. </w:t>
      </w:r>
    </w:p>
    <w:p w14:paraId="3B5F3B42" w14:textId="2389A094" w:rsidR="00C36241" w:rsidRDefault="00C36241" w:rsidP="002B4AFB">
      <w:r>
        <w:t xml:space="preserve">These figures </w:t>
      </w:r>
      <w:r w:rsidR="008E193E">
        <w:t>can’t claim to be total spend</w:t>
      </w:r>
      <w:r w:rsidR="00385B01">
        <w:t xml:space="preserve">, and instead should be interpreted as total spend where the figures can be independently verified. </w:t>
      </w:r>
      <w:r w:rsidR="00625EC7">
        <w:t>With more transparency on outturn expenditure, we would be able to revisit th</w:t>
      </w:r>
      <w:r w:rsidR="00210570">
        <w:t xml:space="preserve">is analysis to provide a </w:t>
      </w:r>
      <w:r w:rsidR="00775CD0">
        <w:t>more comprehensive analysis</w:t>
      </w:r>
      <w:r w:rsidR="00704C09">
        <w:t xml:space="preserve"> of total Scottish Government spend on tackling child poverty. </w:t>
      </w:r>
      <w:r w:rsidR="00E37BE9">
        <w:t xml:space="preserve"> </w:t>
      </w:r>
    </w:p>
    <w:p w14:paraId="491E48E7" w14:textId="332FD99D" w:rsidR="00FB1565" w:rsidRDefault="00DE1D18" w:rsidP="00565CC4">
      <w:pPr>
        <w:pStyle w:val="Heading2"/>
      </w:pPr>
      <w:bookmarkStart w:id="5" w:name="_Toc201763573"/>
      <w:r>
        <w:t>Re</w:t>
      </w:r>
      <w:r w:rsidR="00FD4FB0">
        <w:t>sults</w:t>
      </w:r>
      <w:bookmarkEnd w:id="5"/>
      <w:r w:rsidR="00FD4FB0">
        <w:t xml:space="preserve"> </w:t>
      </w:r>
    </w:p>
    <w:p w14:paraId="0F51EECA" w14:textId="16BD80DA" w:rsidR="00CD3506" w:rsidRPr="00565CC4" w:rsidRDefault="00586F0B" w:rsidP="00565CC4">
      <w:pPr>
        <w:pStyle w:val="Heading3"/>
      </w:pPr>
      <w:bookmarkStart w:id="6" w:name="_Toc201763574"/>
      <w:r w:rsidRPr="00565CC4">
        <w:t xml:space="preserve">Spend on actions featuring in delivery plans and </w:t>
      </w:r>
      <w:r w:rsidR="00565CC4" w:rsidRPr="00565CC4">
        <w:t>progress reports</w:t>
      </w:r>
      <w:bookmarkEnd w:id="6"/>
    </w:p>
    <w:p w14:paraId="7A3B0E81" w14:textId="3136B02D" w:rsidR="00565CC4" w:rsidRDefault="00565CC4" w:rsidP="00565CC4">
      <w:r>
        <w:t>We have used the same separation of the drivers of child poverty as the Scottish Government</w:t>
      </w:r>
      <w:r w:rsidR="00385D50">
        <w:t xml:space="preserve">: </w:t>
      </w:r>
      <w:r>
        <w:t>employment</w:t>
      </w:r>
      <w:r w:rsidR="00385D50">
        <w:t xml:space="preserve"> and earnings</w:t>
      </w:r>
      <w:r>
        <w:t>, social security</w:t>
      </w:r>
      <w:r w:rsidR="00650517">
        <w:t xml:space="preserve">, </w:t>
      </w:r>
      <w:r>
        <w:t>cost of living</w:t>
      </w:r>
      <w:r w:rsidR="00650517">
        <w:t xml:space="preserve"> and </w:t>
      </w:r>
      <w:r w:rsidR="006F1E00">
        <w:t xml:space="preserve">an additional category which captures actions that don’t fit into these categories, including </w:t>
      </w:r>
      <w:r w:rsidR="00650517">
        <w:t>f</w:t>
      </w:r>
      <w:r>
        <w:t xml:space="preserve">rom 2022-23 onwards a new </w:t>
      </w:r>
      <w:r w:rsidR="006F1E00">
        <w:t>‘People and Place’ category</w:t>
      </w:r>
      <w:r w:rsidR="00937B16">
        <w:t xml:space="preserve"> (</w:t>
      </w:r>
      <w:r w:rsidR="00704C09">
        <w:t>we have labelled this ‘</w:t>
      </w:r>
      <w:r w:rsidR="00937B16">
        <w:t>other</w:t>
      </w:r>
      <w:r w:rsidR="00704C09">
        <w:t>’</w:t>
      </w:r>
      <w:r w:rsidR="00937B16">
        <w:t>)</w:t>
      </w:r>
      <w:r w:rsidR="006F1E00">
        <w:t xml:space="preserve">. </w:t>
      </w:r>
    </w:p>
    <w:p w14:paraId="52267BA2" w14:textId="43241C06" w:rsidR="001731F5" w:rsidRDefault="00B74D94" w:rsidP="00565CC4">
      <w:r>
        <w:t>The charts in this section provide figures where</w:t>
      </w:r>
      <w:r w:rsidR="00422F76">
        <w:t xml:space="preserve"> we </w:t>
      </w:r>
      <w:r>
        <w:t>are</w:t>
      </w:r>
      <w:r w:rsidR="00422F76">
        <w:t xml:space="preserve"> either </w:t>
      </w:r>
      <w:r w:rsidR="009015EC">
        <w:t xml:space="preserve">confident that the progress report </w:t>
      </w:r>
      <w:r w:rsidR="00007912">
        <w:t>is reporting</w:t>
      </w:r>
      <w:r w:rsidR="00422F76">
        <w:t xml:space="preserve"> outturn </w:t>
      </w:r>
      <w:r w:rsidR="00007912">
        <w:t>spend (including spend the ‘Child Poverty Fund’</w:t>
      </w:r>
      <w:r>
        <w:t>)</w:t>
      </w:r>
      <w:r w:rsidR="00422F76">
        <w:t xml:space="preserve"> </w:t>
      </w:r>
      <w:r w:rsidR="00007912">
        <w:t xml:space="preserve">or where we have found </w:t>
      </w:r>
      <w:r>
        <w:t xml:space="preserve">a secondary source of data that </w:t>
      </w:r>
      <w:r w:rsidR="003C6A27">
        <w:t>provides a reliable figure of outturn spend</w:t>
      </w:r>
      <w:r>
        <w:t xml:space="preserve">. </w:t>
      </w:r>
      <w:r w:rsidR="00422F76">
        <w:t xml:space="preserve"> </w:t>
      </w:r>
    </w:p>
    <w:p w14:paraId="42822944" w14:textId="05BE7979" w:rsidR="00B51D63" w:rsidRDefault="00921BFB" w:rsidP="00565CC4">
      <w:r>
        <w:t>If actions are not included</w:t>
      </w:r>
      <w:r w:rsidR="00B74D94">
        <w:t xml:space="preserve"> within </w:t>
      </w:r>
      <w:r w:rsidR="003C6A27">
        <w:t>this section</w:t>
      </w:r>
      <w:r>
        <w:t xml:space="preserve">, </w:t>
      </w:r>
      <w:r w:rsidR="001731F5">
        <w:t xml:space="preserve">this </w:t>
      </w:r>
      <w:r w:rsidR="00B51D63">
        <w:t xml:space="preserve">signifies that </w:t>
      </w:r>
      <w:r w:rsidR="00E52C78">
        <w:t xml:space="preserve">we can’t confirm </w:t>
      </w:r>
      <w:r w:rsidR="003C6A27">
        <w:t>the level of outturn expenditure</w:t>
      </w:r>
      <w:r w:rsidR="00FB7759">
        <w:t xml:space="preserve">. </w:t>
      </w:r>
      <w:r w:rsidR="00E52C78">
        <w:t>This does not necessarily mean that no</w:t>
      </w:r>
      <w:r w:rsidR="00FB7759">
        <w:t xml:space="preserve"> spending occurre</w:t>
      </w:r>
      <w:r w:rsidR="00B63CCB">
        <w:t xml:space="preserve">d, but that no </w:t>
      </w:r>
      <w:r w:rsidR="00B63CCB">
        <w:lastRenderedPageBreak/>
        <w:t>data has been published that allows us to verify this</w:t>
      </w:r>
      <w:r w:rsidR="00FB7759">
        <w:t xml:space="preserve">. </w:t>
      </w:r>
      <w:r>
        <w:t xml:space="preserve">It may also be the case that the policy is still in development and expenditure will </w:t>
      </w:r>
      <w:r w:rsidR="006D7CB9">
        <w:t xml:space="preserve">follow </w:t>
      </w:r>
      <w:proofErr w:type="gramStart"/>
      <w:r w:rsidR="006D7CB9">
        <w:t>at a later date</w:t>
      </w:r>
      <w:proofErr w:type="gramEnd"/>
      <w:r w:rsidR="006D7CB9">
        <w:t xml:space="preserve">. </w:t>
      </w:r>
      <w:r w:rsidR="003C6A27">
        <w:t>Unless otherwise stated, outturn expenditure is in nominal terms</w:t>
      </w:r>
      <w:r w:rsidR="004E6504">
        <w:t xml:space="preserve"> with real terms totals provide for reference. </w:t>
      </w:r>
    </w:p>
    <w:p w14:paraId="61ECF129" w14:textId="31866932" w:rsidR="00D74D76" w:rsidRDefault="00212FB3" w:rsidP="001731F5">
      <w:r>
        <w:t>We</w:t>
      </w:r>
      <w:r w:rsidR="001731F5">
        <w:t xml:space="preserve"> only include expenditure after inclusion in either a delivery plan or progress report. </w:t>
      </w:r>
      <w:r w:rsidR="0071375E">
        <w:t>For example, the Adult Disability Payment (ADP) was not included in Every Child</w:t>
      </w:r>
      <w:r w:rsidR="00B77884">
        <w:t>,</w:t>
      </w:r>
      <w:r w:rsidR="0071375E">
        <w:t xml:space="preserve"> Every Chance</w:t>
      </w:r>
      <w:r>
        <w:t xml:space="preserve"> and therefore only features in our analysis after its inclusion in Best Start</w:t>
      </w:r>
      <w:r w:rsidR="00B77884">
        <w:t>,</w:t>
      </w:r>
      <w:r>
        <w:t xml:space="preserve"> Bright Futures. </w:t>
      </w:r>
      <w:r w:rsidR="006D7CB9">
        <w:t xml:space="preserve">Some policies were not included in </w:t>
      </w:r>
      <w:r w:rsidR="00CC6F7C">
        <w:t>either</w:t>
      </w:r>
      <w:r w:rsidR="006D7CB9">
        <w:t xml:space="preserve"> delivery plan</w:t>
      </w:r>
      <w:r w:rsidR="00CC6F7C">
        <w:t>s</w:t>
      </w:r>
      <w:r w:rsidR="006D7CB9">
        <w:t xml:space="preserve"> but were added as actions in subsequent progress reports and we have included these from the date </w:t>
      </w:r>
      <w:r w:rsidR="00CC6F7C">
        <w:t>of the progress report that they appeared within</w:t>
      </w:r>
      <w:r w:rsidR="00C6339D">
        <w:t xml:space="preserve"> (e.g. if an action first appears in the 2019/20 delivery plan, spend for 2019/20 and beyond is included)</w:t>
      </w:r>
      <w:r w:rsidR="00CC6F7C">
        <w:t xml:space="preserve">. </w:t>
      </w:r>
      <w:r w:rsidR="006D7CB9">
        <w:t xml:space="preserve"> </w:t>
      </w:r>
    </w:p>
    <w:p w14:paraId="330FA22E" w14:textId="4F61B6ED" w:rsidR="001D2FE0" w:rsidRDefault="001D2FE0" w:rsidP="001D2FE0">
      <w:pPr>
        <w:pStyle w:val="Heading4"/>
      </w:pPr>
      <w:r>
        <w:t>Employment</w:t>
      </w:r>
    </w:p>
    <w:p w14:paraId="3F6C3D29" w14:textId="206F110A" w:rsidR="000705C5" w:rsidRDefault="001D2FE0" w:rsidP="001D2FE0">
      <w:r>
        <w:t xml:space="preserve">We identified 13 actions related to </w:t>
      </w:r>
      <w:r w:rsidR="00B77884">
        <w:t>employment</w:t>
      </w:r>
      <w:r>
        <w:t xml:space="preserve"> where we were able to find outturn expenditure data. </w:t>
      </w:r>
      <w:r w:rsidR="000705C5">
        <w:t>Most actions related to the first delivery plan. There were 2</w:t>
      </w:r>
      <w:r w:rsidR="00B77884">
        <w:t>3</w:t>
      </w:r>
      <w:r w:rsidR="000705C5">
        <w:t xml:space="preserve"> actions that we were unable to find expenditure for, and the majority of these are actions from the second delivery plan</w:t>
      </w:r>
      <w:r w:rsidR="006733E4">
        <w:t xml:space="preserve"> ‘Best Start Bright Futures’</w:t>
      </w:r>
      <w:r w:rsidR="004A14DD">
        <w:t>;</w:t>
      </w:r>
      <w:r w:rsidR="000705C5">
        <w:t xml:space="preserve"> or</w:t>
      </w:r>
      <w:r w:rsidR="006733E4">
        <w:t xml:space="preserve"> were</w:t>
      </w:r>
      <w:r w:rsidR="000705C5">
        <w:t xml:space="preserve"> added to </w:t>
      </w:r>
      <w:r w:rsidR="008644AE">
        <w:t xml:space="preserve">as part of the 2023/24 progress report. </w:t>
      </w:r>
      <w:r w:rsidR="000705C5">
        <w:t xml:space="preserve"> </w:t>
      </w:r>
    </w:p>
    <w:p w14:paraId="3A86F18E" w14:textId="77777777" w:rsidR="000A1D1A" w:rsidRDefault="000705C5" w:rsidP="000705C5">
      <w:r>
        <w:t>The largest elements of funding related to child poverty are connected to employability programmes</w:t>
      </w:r>
      <w:r w:rsidR="006F000B">
        <w:t>, primarily Fair Start Scotland and</w:t>
      </w:r>
      <w:r w:rsidR="00C86049">
        <w:t xml:space="preserve"> support for parental employability</w:t>
      </w:r>
      <w:r w:rsidR="00864BB0">
        <w:t xml:space="preserve"> (for which various names are used across the progress reports)</w:t>
      </w:r>
      <w:r>
        <w:t xml:space="preserve">. </w:t>
      </w:r>
    </w:p>
    <w:p w14:paraId="46E02977" w14:textId="77777777" w:rsidR="00056AC4" w:rsidRDefault="000705C5" w:rsidP="000705C5">
      <w:r>
        <w:t>Unravelling the various elements of employability as they appear in the delivery plans and progress reports has been difficult. This is due in large part to the introduction of the No One Left Behind approach to employability funding which has led to the Scottish Government transferring funding</w:t>
      </w:r>
      <w:r w:rsidR="00C8156E">
        <w:t>, and some flexibility,</w:t>
      </w:r>
      <w:r>
        <w:t xml:space="preserve"> to local government</w:t>
      </w:r>
      <w:r w:rsidR="00C8156E">
        <w:t xml:space="preserve">. </w:t>
      </w:r>
    </w:p>
    <w:p w14:paraId="33F021AD" w14:textId="633FF694" w:rsidR="000705C5" w:rsidRDefault="000705C5" w:rsidP="000705C5">
      <w:proofErr w:type="gramStart"/>
      <w:r>
        <w:t>A number of</w:t>
      </w:r>
      <w:proofErr w:type="gramEnd"/>
      <w:r>
        <w:t xml:space="preserve"> spending lines that feature in this analysis </w:t>
      </w:r>
      <w:proofErr w:type="gramStart"/>
      <w:r w:rsidR="00B77884">
        <w:t>are</w:t>
      </w:r>
      <w:proofErr w:type="gramEnd"/>
      <w:r>
        <w:t xml:space="preserve"> now part of No One Left Behind. For actions that pre-exist transfer into No One Left Behind (for example, on parental employability support), the progress reports are continuing to assign outturn spend to that action</w:t>
      </w:r>
      <w:r w:rsidR="00056AC4">
        <w:t xml:space="preserve"> and the Scottish Government is still separating this out in allocations to local government</w:t>
      </w:r>
      <w:r w:rsidR="00CF626B">
        <w:t xml:space="preserve">  </w:t>
      </w:r>
      <w:r w:rsidR="00CF626B">
        <w:fldChar w:fldCharType="begin"/>
      </w:r>
      <w:r w:rsidR="00CF626B">
        <w:instrText xml:space="preserve"> ADDIN EN.CITE &lt;EndNote&gt;&lt;Cite&gt;&lt;Author&gt;Government&lt;/Author&gt;&lt;Year&gt;2024&lt;/Year&gt;&lt;RecNum&gt;194&lt;/RecNum&gt;&lt;DisplayText&gt;(9)&lt;/DisplayText&gt;&lt;record&gt;&lt;rec-number&gt;194&lt;/rec-number&gt;&lt;foreign-keys&gt;&lt;key app="EN" db-id="wwx2fs9t4eep51e9ewcxfs9msx0rxwf9dsv2" timestamp="1748694120"&gt;194&lt;/key&gt;&lt;/foreign-keys&gt;&lt;ref-type name="Web Page"&gt;12&lt;/ref-type&gt;&lt;contributors&gt;&lt;authors&gt;&lt;author&gt;Scottish Government&lt;/author&gt;&lt;/authors&gt;&lt;/contributors&gt;&lt;titles&gt;&lt;title&gt;Employability support funding in Scotland: FOI Release&lt;/title&gt;&lt;/titles&gt;&lt;dates&gt;&lt;year&gt;2024&lt;/year&gt;&lt;/dates&gt;&lt;urls&gt;&lt;related-urls&gt;&lt;url&gt;https://www.gov.scot/publications/foi-202400423267/&lt;/url&gt;&lt;/related-urls&gt;&lt;/urls&gt;&lt;/record&gt;&lt;/Cite&gt;&lt;/EndNote&gt;</w:instrText>
      </w:r>
      <w:r w:rsidR="00CF626B">
        <w:fldChar w:fldCharType="separate"/>
      </w:r>
      <w:r w:rsidR="00CF626B">
        <w:rPr>
          <w:noProof/>
        </w:rPr>
        <w:t>(9)</w:t>
      </w:r>
      <w:r w:rsidR="00CF626B">
        <w:fldChar w:fldCharType="end"/>
      </w:r>
      <w:r>
        <w:t xml:space="preserve">. However, </w:t>
      </w:r>
      <w:proofErr w:type="gramStart"/>
      <w:r>
        <w:t>a number of</w:t>
      </w:r>
      <w:proofErr w:type="gramEnd"/>
      <w:r>
        <w:t xml:space="preserve"> new actions from Best Start, Bright Futures do not have assigned outturn spend and are instead referred to as being delivered within No One Left Behind</w:t>
      </w:r>
      <w:r w:rsidR="00C36016">
        <w:t xml:space="preserve"> (</w:t>
      </w:r>
      <w:r w:rsidR="00A73D26">
        <w:t>test and learn pilots for lone parents, challenge fund</w:t>
      </w:r>
      <w:r w:rsidR="000306E5">
        <w:t xml:space="preserve">). </w:t>
      </w:r>
    </w:p>
    <w:p w14:paraId="1E48C2F1" w14:textId="3B27A017" w:rsidR="000705C5" w:rsidRDefault="000705C5" w:rsidP="000705C5">
      <w:r>
        <w:t xml:space="preserve">Unfortunately, there are no central sources that we are aware of that report on No One Left Behind outturn spend that relates to actions on child poverty, or by client group. If we </w:t>
      </w:r>
      <w:r w:rsidR="00851FD3">
        <w:t xml:space="preserve">were to </w:t>
      </w:r>
      <w:r>
        <w:t xml:space="preserve">use the total quantum of funding (reported in the progress reports as £83m in 2022-23 and £103m in 2023-24) for No One Left Behind, this would be inconsistent with the reporting on employability spend linked to child poverty in the preceding years. However, if we do not include this spend, we </w:t>
      </w:r>
      <w:r w:rsidR="00B77884">
        <w:t>know we are</w:t>
      </w:r>
      <w:r>
        <w:t xml:space="preserve"> under-reporting spend that the Scottish Government has assigned towards tackling poverty. </w:t>
      </w:r>
      <w:r w:rsidR="00B77884">
        <w:t xml:space="preserve">We have taken the latter approach </w:t>
      </w:r>
      <w:proofErr w:type="gramStart"/>
      <w:r w:rsidR="00B77884">
        <w:t>here, and</w:t>
      </w:r>
      <w:proofErr w:type="gramEnd"/>
      <w:r w:rsidR="00B77884">
        <w:t xml:space="preserve"> have included in our discussion and recommendations that would allow us to count more expenditure here. </w:t>
      </w:r>
    </w:p>
    <w:p w14:paraId="5BDFF279" w14:textId="5F2CCE6F" w:rsidR="00D30335" w:rsidRDefault="00A1158E" w:rsidP="001D2FE0">
      <w:r>
        <w:t xml:space="preserve">Chart 1 shows the different actions that we have included in this analysis, alongside a line that shows the total in </w:t>
      </w:r>
      <w:r w:rsidR="00D177C7">
        <w:t>2025/26 prices</w:t>
      </w:r>
      <w:r>
        <w:t xml:space="preserve">. </w:t>
      </w:r>
      <w:r w:rsidR="00D177C7">
        <w:t xml:space="preserve">In real terms, the expenditure we have been able to report rose over the period of the first delivery plan but has declined over the period 2022-23 and 2023-24. This </w:t>
      </w:r>
      <w:r w:rsidR="00B77884">
        <w:t>is likely to be</w:t>
      </w:r>
      <w:r w:rsidR="00D30335">
        <w:t xml:space="preserve"> be</w:t>
      </w:r>
      <w:r w:rsidR="00D177C7">
        <w:t xml:space="preserve"> in part due to difficulties in reporting expenditure </w:t>
      </w:r>
      <w:r w:rsidR="00F06BEE">
        <w:t>on employability</w:t>
      </w:r>
      <w:r w:rsidR="00D30335">
        <w:t xml:space="preserve">, including for No One Left Behind. However, </w:t>
      </w:r>
      <w:r w:rsidR="000A0CA2">
        <w:t>we know that</w:t>
      </w:r>
      <w:r w:rsidR="00D30335">
        <w:t xml:space="preserve"> </w:t>
      </w:r>
      <w:r w:rsidR="00D223C4">
        <w:t xml:space="preserve">some funding </w:t>
      </w:r>
      <w:r w:rsidR="00B77884">
        <w:t>ended</w:t>
      </w:r>
      <w:r w:rsidR="00D223C4">
        <w:t>, for example</w:t>
      </w:r>
      <w:r w:rsidR="00B77884">
        <w:t xml:space="preserve">, the </w:t>
      </w:r>
      <w:r w:rsidR="00D30335">
        <w:t xml:space="preserve"> Flexible Workforce Development fund was stopped in 2023-24</w:t>
      </w:r>
      <w:r w:rsidR="00D223C4">
        <w:t xml:space="preserve"> </w:t>
      </w:r>
      <w:r w:rsidR="000A27B8">
        <w:fldChar w:fldCharType="begin"/>
      </w:r>
      <w:r w:rsidR="00E81CC5">
        <w:instrText xml:space="preserve"> ADDIN EN.CITE &lt;EndNote&gt;&lt;Cite&gt;&lt;Author&gt;Committee:&lt;/Author&gt;&lt;Year&gt;2024&lt;/Year&gt;&lt;RecNum&gt;195&lt;/RecNum&gt;&lt;DisplayText&gt;(10)&lt;/DisplayText&gt;&lt;record&gt;&lt;rec-number&gt;195&lt;/rec-number&gt;&lt;foreign-keys&gt;&lt;key app="EN" db-id="wwx2fs9t4eep51e9ewcxfs9msx0rxwf9dsv2" timestamp="1750331537"&gt;195&lt;/key&gt;&lt;/foreign-keys&gt;&lt;ref-type name="Report"&gt;27&lt;/ref-type&gt;&lt;contributors&gt;&lt;authors&gt;&lt;author&gt;Scottish Parliament Education Children and Young People Committee:&lt;/author&gt;&lt;/authors&gt;&lt;/contributors&gt;&lt;titles&gt;&lt;title&gt;Pre-Budget Scrutiny 2025 to 2026&lt;/title&gt;&lt;/titles&gt;&lt;dates&gt;&lt;year&gt;2024&lt;/year&gt;&lt;/dates&gt;&lt;urls&gt;&lt;/urls&gt;&lt;/record&gt;&lt;/Cite&gt;&lt;/EndNote&gt;</w:instrText>
      </w:r>
      <w:r w:rsidR="000A27B8">
        <w:fldChar w:fldCharType="separate"/>
      </w:r>
      <w:r w:rsidR="00CF626B">
        <w:rPr>
          <w:noProof/>
        </w:rPr>
        <w:t>(10)</w:t>
      </w:r>
      <w:r w:rsidR="000A27B8">
        <w:fldChar w:fldCharType="end"/>
      </w:r>
      <w:r w:rsidR="000A27B8">
        <w:t xml:space="preserve">. </w:t>
      </w:r>
    </w:p>
    <w:p w14:paraId="2ED48843" w14:textId="318EB91D" w:rsidR="001D2FE0" w:rsidRDefault="001D2FE0" w:rsidP="001D2FE0">
      <w:pPr>
        <w:pStyle w:val="Heading6"/>
      </w:pPr>
      <w:r>
        <w:lastRenderedPageBreak/>
        <w:t xml:space="preserve">Chart 1: </w:t>
      </w:r>
      <w:r w:rsidR="00276340">
        <w:t>Outturn expenditure on</w:t>
      </w:r>
      <w:r>
        <w:t xml:space="preserve"> actions related to employment </w:t>
      </w:r>
    </w:p>
    <w:p w14:paraId="2B169F45" w14:textId="77777777" w:rsidR="00A1158E" w:rsidRDefault="007F2F50" w:rsidP="00A1158E">
      <w:pPr>
        <w:rPr>
          <w:rStyle w:val="Heading4Char"/>
          <w:noProof/>
        </w:rPr>
      </w:pPr>
      <w:r>
        <w:rPr>
          <w:rStyle w:val="Heading4Char"/>
          <w:noProof/>
        </w:rPr>
        <w:drawing>
          <wp:inline distT="0" distB="0" distL="0" distR="0" wp14:anchorId="04D2FEA9" wp14:editId="3DDA11EB">
            <wp:extent cx="5467350" cy="5618838"/>
            <wp:effectExtent l="0" t="0" r="0" b="1270"/>
            <wp:docPr id="1107441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441803" name="Picture 1"/>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468921" cy="5620452"/>
                    </a:xfrm>
                    <a:prstGeom prst="rect">
                      <a:avLst/>
                    </a:prstGeom>
                  </pic:spPr>
                </pic:pic>
              </a:graphicData>
            </a:graphic>
          </wp:inline>
        </w:drawing>
      </w:r>
    </w:p>
    <w:p w14:paraId="7FD191F7" w14:textId="77777777" w:rsidR="003430B9" w:rsidRDefault="003430B9" w:rsidP="003430B9">
      <w:pPr>
        <w:rPr>
          <w:rStyle w:val="Heading4Char"/>
          <w:noProof/>
        </w:rPr>
      </w:pPr>
    </w:p>
    <w:p w14:paraId="10570E31" w14:textId="77777777" w:rsidR="003430B9" w:rsidRDefault="003430B9" w:rsidP="003430B9">
      <w:pPr>
        <w:pStyle w:val="Heading4"/>
      </w:pPr>
      <w:r>
        <w:t>Social Security</w:t>
      </w:r>
    </w:p>
    <w:p w14:paraId="596DE339" w14:textId="77777777" w:rsidR="003430B9" w:rsidRDefault="003430B9" w:rsidP="003430B9"/>
    <w:p w14:paraId="76C822EC" w14:textId="504D69F8" w:rsidR="003430B9" w:rsidRDefault="003430B9" w:rsidP="003430B9">
      <w:r>
        <w:t>We identified 1</w:t>
      </w:r>
      <w:r w:rsidR="00EE65D0">
        <w:t>4</w:t>
      </w:r>
      <w:r>
        <w:t xml:space="preserve"> social security actions where we could independently verify outturn expenditure. We were unable to find expenditure linked to </w:t>
      </w:r>
      <w:r w:rsidR="00EE65D0">
        <w:t>5</w:t>
      </w:r>
      <w:r>
        <w:t xml:space="preserve"> social security actions, but this is because the actions did not necessitate additional spending rather than because of incomplete information. The totals we report therefore are representative of the total spend on social security linked to actions in progress reports. </w:t>
      </w:r>
    </w:p>
    <w:p w14:paraId="76F0AF9E" w14:textId="77777777" w:rsidR="003430B9" w:rsidRPr="00B77884" w:rsidRDefault="003430B9" w:rsidP="003430B9">
      <w:pPr>
        <w:rPr>
          <w:color w:val="EF3B2C"/>
        </w:rPr>
      </w:pPr>
      <w:r>
        <w:t xml:space="preserve">For some of the actions (including the Carer Support Payment/Carer’s Allowance) we have only included expenditure above the amount funded by the UK Government. This diverges from the approach taken by the Scottish Government. However, we have also included some actions that the Scottish Government do not count within their estimated spend. Further details of our approach and how it differs from the Scottish Government is included in a later section of this report. </w:t>
      </w:r>
    </w:p>
    <w:p w14:paraId="2AE43878" w14:textId="77777777" w:rsidR="003430B9" w:rsidRPr="003430B9" w:rsidRDefault="003430B9" w:rsidP="003430B9"/>
    <w:p w14:paraId="2C2C80B2" w14:textId="1BB37ACF" w:rsidR="00A1158E" w:rsidRPr="00A1158E" w:rsidRDefault="00C20466" w:rsidP="00C20466">
      <w:pPr>
        <w:pStyle w:val="Heading6"/>
        <w:rPr>
          <w:rStyle w:val="Heading4Char"/>
          <w:i/>
          <w:iCs/>
        </w:rPr>
      </w:pPr>
      <w:r>
        <w:t>Chart 2: Outturn expenditure on actions related to social security</w:t>
      </w:r>
    </w:p>
    <w:p w14:paraId="3DAB1DBB" w14:textId="5217730D" w:rsidR="00611E27" w:rsidRDefault="00FE118B" w:rsidP="003D1C09">
      <w:r>
        <w:rPr>
          <w:noProof/>
        </w:rPr>
        <w:drawing>
          <wp:inline distT="0" distB="0" distL="0" distR="0" wp14:anchorId="215F4560" wp14:editId="2EA84B27">
            <wp:extent cx="5372100" cy="6809162"/>
            <wp:effectExtent l="0" t="0" r="0" b="0"/>
            <wp:docPr id="8574543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454364" name="Picture 5"/>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373322" cy="6810711"/>
                    </a:xfrm>
                    <a:prstGeom prst="rect">
                      <a:avLst/>
                    </a:prstGeom>
                  </pic:spPr>
                </pic:pic>
              </a:graphicData>
            </a:graphic>
          </wp:inline>
        </w:drawing>
      </w:r>
    </w:p>
    <w:p w14:paraId="1397366D" w14:textId="77777777" w:rsidR="00255FB3" w:rsidRDefault="00255FB3" w:rsidP="00255FB3"/>
    <w:p w14:paraId="1238D933" w14:textId="2403A5D5" w:rsidR="00255FB3" w:rsidRDefault="00255FB3" w:rsidP="00255FB3">
      <w:pPr>
        <w:pStyle w:val="Heading4"/>
      </w:pPr>
      <w:r>
        <w:t>Cost of Living</w:t>
      </w:r>
    </w:p>
    <w:p w14:paraId="5EB58527" w14:textId="3984665F" w:rsidR="00A815E5" w:rsidRDefault="00255FB3" w:rsidP="00DD458D">
      <w:r>
        <w:t>We found outturn expenditure for 2</w:t>
      </w:r>
      <w:r w:rsidR="00E42EC1">
        <w:t>7</w:t>
      </w:r>
      <w:r>
        <w:t xml:space="preserve"> actions related to the cost of living with a further </w:t>
      </w:r>
      <w:r w:rsidR="00127B5B">
        <w:t>31</w:t>
      </w:r>
      <w:r>
        <w:t xml:space="preserve"> actions where we could not </w:t>
      </w:r>
      <w:r w:rsidR="0015456A">
        <w:t>find or verify</w:t>
      </w:r>
      <w:r>
        <w:t xml:space="preserve"> outturn expenditure information. The actions related to cost of living are dominated by the affordable housing programme</w:t>
      </w:r>
      <w:r w:rsidR="007513A4">
        <w:t xml:space="preserve"> and expanded early learning and childcare</w:t>
      </w:r>
      <w:r>
        <w:t xml:space="preserve">. The action </w:t>
      </w:r>
      <w:r w:rsidR="007513A4">
        <w:t>on affordable housing is to ensure that</w:t>
      </w:r>
      <w:r>
        <w:t xml:space="preserve"> that future affordable housing supply decisions have a real and sustained impact on child poverty, and arguably by including </w:t>
      </w:r>
      <w:r>
        <w:lastRenderedPageBreak/>
        <w:t xml:space="preserve">the entire outturn spend directed to the programme, we will be overstating its impact. </w:t>
      </w:r>
      <w:r w:rsidR="007B51DA">
        <w:t xml:space="preserve">Chart </w:t>
      </w:r>
      <w:r w:rsidR="002F440B">
        <w:t>3b shows the same data but without the affordable housing</w:t>
      </w:r>
      <w:r w:rsidR="007513A4">
        <w:t xml:space="preserve"> and early learning and childcare</w:t>
      </w:r>
      <w:r w:rsidR="002F440B">
        <w:t xml:space="preserve"> spending line</w:t>
      </w:r>
      <w:r w:rsidR="007513A4">
        <w:t>s</w:t>
      </w:r>
      <w:r w:rsidR="002F440B">
        <w:t xml:space="preserve">. </w:t>
      </w:r>
    </w:p>
    <w:p w14:paraId="042E7860" w14:textId="2665AFC4" w:rsidR="00F2722E" w:rsidRDefault="00255FB3" w:rsidP="00255FB3">
      <w:r>
        <w:t>Other actions which are notable in size include the efforts to reduce food insecurity in the school holidays and concessionary travel for under 22s. Some actions appear to be short lived allocation of funds</w:t>
      </w:r>
      <w:r w:rsidR="003202E9">
        <w:t xml:space="preserve"> and </w:t>
      </w:r>
      <w:proofErr w:type="gramStart"/>
      <w:r w:rsidR="003202E9">
        <w:t xml:space="preserve">a </w:t>
      </w:r>
      <w:r w:rsidR="00F2722E">
        <w:t>number of</w:t>
      </w:r>
      <w:proofErr w:type="gramEnd"/>
      <w:r w:rsidR="00F2722E">
        <w:t xml:space="preserve"> actions only featured in the first delivery plan and were not included in the second plan – for example, support for affordable credit.</w:t>
      </w:r>
      <w:r w:rsidR="003202E9">
        <w:t xml:space="preserve"> When the affordable housing budget is included, i</w:t>
      </w:r>
      <w:r w:rsidR="00DD458D">
        <w:t xml:space="preserve">n real terms (2025/26 prices) outturn expenditure has wavered and spend in 2023/24 is only marginally higher than in 2018-19.  </w:t>
      </w:r>
      <w:r w:rsidR="003202E9">
        <w:t>With the affordable housing</w:t>
      </w:r>
      <w:r w:rsidR="00B77884">
        <w:t xml:space="preserve"> and early learning and childcare</w:t>
      </w:r>
      <w:r w:rsidR="003202E9">
        <w:t xml:space="preserve"> funding removed, there is more of a clear upward trajectory of spend in both nominal and real terms. </w:t>
      </w:r>
    </w:p>
    <w:p w14:paraId="3285BD4D" w14:textId="6E454D10" w:rsidR="00C67C33" w:rsidRPr="00255FB3" w:rsidRDefault="00C67C33" w:rsidP="00856A4E">
      <w:pPr>
        <w:pStyle w:val="Heading6"/>
      </w:pPr>
      <w:r>
        <w:t>Chart 3a</w:t>
      </w:r>
      <w:r w:rsidR="00856A4E">
        <w:t>: Outturn expenditure on actions related to cost of living</w:t>
      </w:r>
    </w:p>
    <w:p w14:paraId="00458E1D" w14:textId="77777777" w:rsidR="00DD458D" w:rsidRDefault="00476B9C" w:rsidP="00DD458D">
      <w:pPr>
        <w:rPr>
          <w:b/>
          <w:bCs/>
        </w:rPr>
      </w:pPr>
      <w:r>
        <w:rPr>
          <w:b/>
          <w:bCs/>
          <w:noProof/>
        </w:rPr>
        <w:drawing>
          <wp:inline distT="0" distB="0" distL="0" distR="0" wp14:anchorId="2BE6DB06" wp14:editId="7C433007">
            <wp:extent cx="5457825" cy="6392668"/>
            <wp:effectExtent l="0" t="0" r="0" b="8255"/>
            <wp:docPr id="7117522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752270" name="Picture 5"/>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459405" cy="6394519"/>
                    </a:xfrm>
                    <a:prstGeom prst="rect">
                      <a:avLst/>
                    </a:prstGeom>
                    <a:noFill/>
                  </pic:spPr>
                </pic:pic>
              </a:graphicData>
            </a:graphic>
          </wp:inline>
        </w:drawing>
      </w:r>
    </w:p>
    <w:p w14:paraId="5176A036" w14:textId="144F8E04" w:rsidR="00A815E5" w:rsidRDefault="00A815E5" w:rsidP="00A815E5">
      <w:pPr>
        <w:pStyle w:val="Heading6"/>
      </w:pPr>
      <w:r>
        <w:lastRenderedPageBreak/>
        <w:t>Chart 3b: Outturn expenditure on actions related to cost of living without affordable housing</w:t>
      </w:r>
    </w:p>
    <w:p w14:paraId="2409E36C" w14:textId="6191BDB8" w:rsidR="00746679" w:rsidRDefault="00960E44" w:rsidP="00746679">
      <w:r>
        <w:rPr>
          <w:noProof/>
        </w:rPr>
        <w:drawing>
          <wp:inline distT="0" distB="0" distL="0" distR="0" wp14:anchorId="2F2821AC" wp14:editId="154E945B">
            <wp:extent cx="5474826" cy="5854064"/>
            <wp:effectExtent l="0" t="0" r="0" b="0"/>
            <wp:docPr id="20718448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44826"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5474826" cy="5854064"/>
                    </a:xfrm>
                    <a:prstGeom prst="rect">
                      <a:avLst/>
                    </a:prstGeom>
                  </pic:spPr>
                </pic:pic>
              </a:graphicData>
            </a:graphic>
          </wp:inline>
        </w:drawing>
      </w:r>
    </w:p>
    <w:p w14:paraId="0CD1BBF2" w14:textId="2B0660ED" w:rsidR="00856A4E" w:rsidRPr="00856A4E" w:rsidRDefault="00856A4E"/>
    <w:p w14:paraId="28317750" w14:textId="60E56E1E" w:rsidR="00023261" w:rsidRDefault="00023261" w:rsidP="00023261">
      <w:pPr>
        <w:pStyle w:val="Heading4"/>
      </w:pPr>
      <w:r>
        <w:t>Other actions</w:t>
      </w:r>
    </w:p>
    <w:p w14:paraId="1182C274" w14:textId="0D122532" w:rsidR="00E0014A" w:rsidRDefault="00E0014A" w:rsidP="00E0014A">
      <w:r>
        <w:t xml:space="preserve">In the second delivery plan, Best Start, Bright Futures, </w:t>
      </w:r>
      <w:proofErr w:type="gramStart"/>
      <w:r>
        <w:t>a number of</w:t>
      </w:r>
      <w:proofErr w:type="gramEnd"/>
      <w:r>
        <w:t xml:space="preserve"> actions were included within a section called People and Place. </w:t>
      </w:r>
      <w:r w:rsidR="008B3C36">
        <w:t>We have tracked these through to the progress reports</w:t>
      </w:r>
      <w:r w:rsidR="00173CE9">
        <w:t xml:space="preserve"> where only a small number became part of the </w:t>
      </w:r>
      <w:r w:rsidR="00B77884">
        <w:t xml:space="preserve">narrative on tackling child poverty within the timelines of the 2030/31 targets. </w:t>
      </w:r>
      <w:r w:rsidR="00501C61">
        <w:t xml:space="preserve"> </w:t>
      </w:r>
    </w:p>
    <w:p w14:paraId="5E548337" w14:textId="6246E824" w:rsidR="008D10A5" w:rsidRDefault="008D10A5" w:rsidP="00E0014A">
      <w:r>
        <w:t xml:space="preserve">Out of the actions that </w:t>
      </w:r>
      <w:r w:rsidR="00B77884">
        <w:t>are part of efforts to meet the targets</w:t>
      </w:r>
      <w:r>
        <w:t xml:space="preserve">, we have located outturn expenditure figures for </w:t>
      </w:r>
      <w:r w:rsidR="00263E92">
        <w:t>4 actions, and</w:t>
      </w:r>
      <w:r w:rsidR="00B77884">
        <w:t xml:space="preserve"> expenditure for</w:t>
      </w:r>
      <w:r w:rsidR="00263E92">
        <w:t xml:space="preserve"> one further action ‘Act on findings of Rural and Islands Poverty Research’ couldn’t be found. </w:t>
      </w:r>
    </w:p>
    <w:p w14:paraId="318FAE0D" w14:textId="35E21599" w:rsidR="00172BFD" w:rsidRDefault="00E15046" w:rsidP="00E0014A">
      <w:r>
        <w:t>Whole Family Wellbeing funding is the largest part of expenditure in this section</w:t>
      </w:r>
      <w:r w:rsidR="000F5CEF">
        <w:t xml:space="preserve">, and as it has been held flat in cash terms, this represents a real terms decline over the period 2022-23 to 2023-24. </w:t>
      </w:r>
    </w:p>
    <w:p w14:paraId="01099F28" w14:textId="77207B98" w:rsidR="00760845" w:rsidRDefault="00760845" w:rsidP="00760845">
      <w:pPr>
        <w:pStyle w:val="Heading6"/>
      </w:pPr>
      <w:r>
        <w:lastRenderedPageBreak/>
        <w:t>Chart 4: Outturn expenditure on other actions</w:t>
      </w:r>
    </w:p>
    <w:p w14:paraId="6D30B7D7" w14:textId="77777777" w:rsidR="00760845" w:rsidRPr="00E0014A" w:rsidRDefault="00760845" w:rsidP="00E0014A"/>
    <w:p w14:paraId="2A77A739" w14:textId="3B3D20BD" w:rsidR="0011228B" w:rsidRPr="00027C48" w:rsidRDefault="00911D79" w:rsidP="00C71C7A">
      <w:pPr>
        <w:ind w:firstLine="720"/>
      </w:pPr>
      <w:r>
        <w:rPr>
          <w:noProof/>
        </w:rPr>
        <w:drawing>
          <wp:inline distT="0" distB="0" distL="0" distR="0" wp14:anchorId="28D38250" wp14:editId="36904E13">
            <wp:extent cx="4542306" cy="3552609"/>
            <wp:effectExtent l="0" t="0" r="0" b="0"/>
            <wp:docPr id="20257451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45189" name="Picture 4"/>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542306" cy="3552609"/>
                    </a:xfrm>
                    <a:prstGeom prst="rect">
                      <a:avLst/>
                    </a:prstGeom>
                    <a:noFill/>
                  </pic:spPr>
                </pic:pic>
              </a:graphicData>
            </a:graphic>
          </wp:inline>
        </w:drawing>
      </w:r>
    </w:p>
    <w:p w14:paraId="06B47160" w14:textId="7A016E0B" w:rsidR="00F2722E" w:rsidRPr="00F2722E" w:rsidRDefault="00F2722E" w:rsidP="00F2722E">
      <w:pPr>
        <w:pStyle w:val="Heading6"/>
        <w:rPr>
          <w:b/>
          <w:bCs/>
        </w:rPr>
      </w:pPr>
    </w:p>
    <w:p w14:paraId="42BA7649" w14:textId="48E1E526" w:rsidR="00E17362" w:rsidRDefault="00E17362" w:rsidP="00E17362">
      <w:pPr>
        <w:pStyle w:val="Heading3"/>
      </w:pPr>
      <w:bookmarkStart w:id="7" w:name="_Toc201763575"/>
      <w:r>
        <w:t>Spend on actions where tackling child poverty is the primary aim of the policy</w:t>
      </w:r>
      <w:bookmarkEnd w:id="7"/>
      <w:r>
        <w:t xml:space="preserve"> </w:t>
      </w:r>
    </w:p>
    <w:p w14:paraId="19C11AE9" w14:textId="373125F6" w:rsidR="00FB4891" w:rsidRDefault="00FB4891" w:rsidP="00FB4891">
      <w:r>
        <w:t xml:space="preserve">Across all categories of spend, we have looked at evidence and made a judgment on whether the outturn expenditure relates to an action where tackling poverty is the primary focus. For example, the outturn expenditure on the affordable housing programme does not have the primary aim of reducing child poverty, albeit this is a related aim, and therefore not all those who benefit will be children in or at risk of poverty. Other policies, such as the Scottish Child Payment have reducing child poverty as a primary aim. </w:t>
      </w:r>
    </w:p>
    <w:p w14:paraId="6F2AC38E" w14:textId="72C423E0" w:rsidR="00E45B51" w:rsidRDefault="00E45B51" w:rsidP="00FB4891">
      <w:r>
        <w:t xml:space="preserve">The </w:t>
      </w:r>
      <w:proofErr w:type="gramStart"/>
      <w:r w:rsidR="00B77884">
        <w:t>charts</w:t>
      </w:r>
      <w:proofErr w:type="gramEnd"/>
      <w:r>
        <w:t xml:space="preserve"> in this section provides </w:t>
      </w:r>
      <w:r w:rsidR="00760845">
        <w:t>a sum of independently verified</w:t>
      </w:r>
      <w:r>
        <w:t xml:space="preserve"> </w:t>
      </w:r>
      <w:r w:rsidR="006A2FF5">
        <w:t xml:space="preserve">outturn expenditure related to actions that are primarily focussed on child poverty. </w:t>
      </w:r>
    </w:p>
    <w:p w14:paraId="48408090" w14:textId="0A20014B" w:rsidR="00FB4891" w:rsidRDefault="00FB4891" w:rsidP="00FB4891">
      <w:r>
        <w:t xml:space="preserve">Chart </w:t>
      </w:r>
      <w:r w:rsidR="00CB5FCF">
        <w:t>5</w:t>
      </w:r>
      <w:r>
        <w:t xml:space="preserve"> shows that, there has been a real terms increase in spend </w:t>
      </w:r>
      <w:r w:rsidR="005D3CD2">
        <w:t xml:space="preserve">with a primary aim of tackling child poverty since 2018-19. </w:t>
      </w:r>
      <w:r w:rsidR="00B2134D">
        <w:t>80% of the increase is from social security spending</w:t>
      </w:r>
      <w:r w:rsidR="00CB5FCF">
        <w:t xml:space="preserve">, and the vast majority of this is the Scottish Child Payment. </w:t>
      </w:r>
      <w:r w:rsidR="00B2134D">
        <w:t xml:space="preserve"> </w:t>
      </w:r>
    </w:p>
    <w:p w14:paraId="53698DCD" w14:textId="77777777" w:rsidR="00CB141E" w:rsidRDefault="00CB141E" w:rsidP="00CB141E">
      <w:r w:rsidRPr="00CB141E">
        <w:t>Chart 6 provides context by illustrating the total spending on actions primarily focused on tackling child poverty as a proportion of overall Scottish Government expenditure. This share has grown over time, and as of writing, confirmed outturn figures show that such spending accounted for 1% of total Scottish Government expenditure in 2023/24.</w:t>
      </w:r>
    </w:p>
    <w:p w14:paraId="0E18195F" w14:textId="6324667F" w:rsidR="00CB141E" w:rsidRDefault="00CB141E" w:rsidP="00CB141E">
      <w:pPr>
        <w:pStyle w:val="Heading6"/>
      </w:pPr>
      <w:r>
        <w:lastRenderedPageBreak/>
        <w:t>Chart 5: Outturn expenditure on actions primarily related to tackling child poverty</w:t>
      </w:r>
    </w:p>
    <w:p w14:paraId="54265389" w14:textId="77777777" w:rsidR="00E57272" w:rsidRDefault="00160B4D">
      <w:r>
        <w:rPr>
          <w:noProof/>
        </w:rPr>
        <w:drawing>
          <wp:inline distT="0" distB="0" distL="0" distR="0" wp14:anchorId="6555F9D3" wp14:editId="31D2389C">
            <wp:extent cx="5731113" cy="3933824"/>
            <wp:effectExtent l="0" t="0" r="3175" b="0"/>
            <wp:docPr id="69055166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551667" name="Picture 4"/>
                    <pic:cNvPicPr/>
                  </pic:nvPicPr>
                  <pic:blipFill>
                    <a:blip r:embed="rId18">
                      <a:extLst>
                        <a:ext uri="{28A0092B-C50C-407E-A947-70E740481C1C}">
                          <a14:useLocalDpi xmlns:a14="http://schemas.microsoft.com/office/drawing/2010/main" val="0"/>
                        </a:ext>
                      </a:extLst>
                    </a:blip>
                    <a:stretch>
                      <a:fillRect/>
                    </a:stretch>
                  </pic:blipFill>
                  <pic:spPr>
                    <a:xfrm>
                      <a:off x="0" y="0"/>
                      <a:ext cx="5731113" cy="3933824"/>
                    </a:xfrm>
                    <a:prstGeom prst="rect">
                      <a:avLst/>
                    </a:prstGeom>
                  </pic:spPr>
                </pic:pic>
              </a:graphicData>
            </a:graphic>
          </wp:inline>
        </w:drawing>
      </w:r>
    </w:p>
    <w:p w14:paraId="5463D7DA" w14:textId="6C96E4D5" w:rsidR="00CB5FCF" w:rsidRDefault="00CB5FCF" w:rsidP="00CB5FCF">
      <w:pPr>
        <w:pStyle w:val="Heading6"/>
      </w:pPr>
      <w:r>
        <w:lastRenderedPageBreak/>
        <w:t>Chart 6: Outturn expenditure</w:t>
      </w:r>
      <w:r w:rsidR="00CB141E" w:rsidRPr="00CB141E">
        <w:t xml:space="preserve"> </w:t>
      </w:r>
      <w:r w:rsidR="00CB141E">
        <w:t>on actions primarily related to tackling child poverty</w:t>
      </w:r>
      <w:r>
        <w:t xml:space="preserve"> as a proportion of total Scottish Government spend</w:t>
      </w:r>
    </w:p>
    <w:p w14:paraId="3F7D13B0" w14:textId="313BCACA" w:rsidR="007F4ADE" w:rsidRDefault="00B2134D">
      <w:pPr>
        <w:rPr>
          <w:rFonts w:asciiTheme="majorHAnsi" w:eastAsiaTheme="majorEastAsia" w:hAnsiTheme="majorHAnsi" w:cstheme="majorBidi"/>
          <w:color w:val="0F4761" w:themeColor="accent1" w:themeShade="BF"/>
          <w:sz w:val="32"/>
          <w:szCs w:val="32"/>
        </w:rPr>
      </w:pPr>
      <w:r>
        <w:rPr>
          <w:noProof/>
        </w:rPr>
        <w:drawing>
          <wp:inline distT="0" distB="0" distL="0" distR="0" wp14:anchorId="5DDF63EC" wp14:editId="0632A1DD">
            <wp:extent cx="5295900" cy="4333009"/>
            <wp:effectExtent l="0" t="0" r="0" b="0"/>
            <wp:docPr id="24113336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133368" name="Picture 6"/>
                    <pic:cNvPicPr/>
                  </pic:nvPicPr>
                  <pic:blipFill>
                    <a:blip r:embed="rId19">
                      <a:extLst>
                        <a:ext uri="{28A0092B-C50C-407E-A947-70E740481C1C}">
                          <a14:useLocalDpi xmlns:a14="http://schemas.microsoft.com/office/drawing/2010/main" val="0"/>
                        </a:ext>
                      </a:extLst>
                    </a:blip>
                    <a:stretch>
                      <a:fillRect/>
                    </a:stretch>
                  </pic:blipFill>
                  <pic:spPr>
                    <a:xfrm>
                      <a:off x="0" y="0"/>
                      <a:ext cx="5300252" cy="4336569"/>
                    </a:xfrm>
                    <a:prstGeom prst="rect">
                      <a:avLst/>
                    </a:prstGeom>
                  </pic:spPr>
                </pic:pic>
              </a:graphicData>
            </a:graphic>
          </wp:inline>
        </w:drawing>
      </w:r>
      <w:r w:rsidR="007F4ADE">
        <w:br w:type="page"/>
      </w:r>
    </w:p>
    <w:p w14:paraId="1721ECD5" w14:textId="7A19D7F2" w:rsidR="00717B77" w:rsidRDefault="00717B77" w:rsidP="00717B77">
      <w:pPr>
        <w:pStyle w:val="Heading2"/>
      </w:pPr>
      <w:bookmarkStart w:id="8" w:name="_Toc201763576"/>
      <w:r>
        <w:lastRenderedPageBreak/>
        <w:t>Discussion</w:t>
      </w:r>
      <w:bookmarkEnd w:id="8"/>
    </w:p>
    <w:p w14:paraId="6C9DE30A" w14:textId="64252250" w:rsidR="00762E96" w:rsidRPr="00490970" w:rsidRDefault="00490970" w:rsidP="00762E96">
      <w:r>
        <w:t xml:space="preserve">Our analysis was unable to answer the question we started with which was how much money has been spent on child poverty actions by the Scottish Government since the Child Poverty (Scotland) Act came into effect. This is </w:t>
      </w:r>
      <w:r w:rsidR="00B77884">
        <w:t xml:space="preserve">primarily </w:t>
      </w:r>
      <w:r>
        <w:t xml:space="preserve">due to a lack of transparency on outturn data. </w:t>
      </w:r>
    </w:p>
    <w:p w14:paraId="48990D73" w14:textId="3D7E5A24" w:rsidR="00D52E63" w:rsidRDefault="00490970" w:rsidP="00762E96">
      <w:r>
        <w:t>A key concern is that th</w:t>
      </w:r>
      <w:r w:rsidR="009B4C3E" w:rsidRPr="00762E96">
        <w:t>e Scottish Government’s progress reports on child poverty often do not distinguish between outturn expenditure</w:t>
      </w:r>
      <w:r>
        <w:t xml:space="preserve"> and </w:t>
      </w:r>
      <w:r w:rsidR="0076018A">
        <w:t xml:space="preserve">budgeted or forecasted spend. </w:t>
      </w:r>
    </w:p>
    <w:p w14:paraId="76CD5882" w14:textId="4FB969D9" w:rsidR="001C1CA3" w:rsidRDefault="00D52E63" w:rsidP="00D52E63">
      <w:r>
        <w:t>To cross-check figures in the progress report</w:t>
      </w:r>
      <w:r w:rsidR="001C1CA3">
        <w:t>s</w:t>
      </w:r>
      <w:r w:rsidR="0076018A">
        <w:t xml:space="preserve"> to determine outturn expenditure</w:t>
      </w:r>
      <w:r>
        <w:t xml:space="preserve">, we sought to locate </w:t>
      </w:r>
      <w:r w:rsidR="001C1CA3">
        <w:t xml:space="preserve">other sources of data on outturn spend. </w:t>
      </w:r>
      <w:r w:rsidR="0076018A">
        <w:t xml:space="preserve">This was a difficult and </w:t>
      </w:r>
      <w:r w:rsidR="009A7B2B">
        <w:t>time-consuming</w:t>
      </w:r>
      <w:r w:rsidR="0076018A">
        <w:t xml:space="preserve"> process</w:t>
      </w:r>
      <w:r w:rsidR="003C0AA5">
        <w:t xml:space="preserve">. </w:t>
      </w:r>
    </w:p>
    <w:p w14:paraId="26B6B437" w14:textId="67C4DEDF" w:rsidR="00D52E63" w:rsidRPr="00762E96" w:rsidRDefault="001C1CA3" w:rsidP="00D52E63">
      <w:r>
        <w:t xml:space="preserve">Transparency matters, </w:t>
      </w:r>
      <w:r w:rsidR="00D52E63" w:rsidRPr="00762E96">
        <w:t>not only for enabling external scrutiny of spending, but also to ensure officials have access to the information they need to monitor and report progress on tackling child poverty.</w:t>
      </w:r>
      <w:r w:rsidR="00D9694D">
        <w:t xml:space="preserve"> Understanding what has been spent on tackling child poverty to date is surely a pre-requisite of</w:t>
      </w:r>
      <w:r w:rsidR="00F37612">
        <w:t xml:space="preserve"> being able to meaningfully assess progress and </w:t>
      </w:r>
      <w:r w:rsidR="007E0EF6">
        <w:t xml:space="preserve">understand what additional resources are required to meet the child poverty targets. </w:t>
      </w:r>
    </w:p>
    <w:p w14:paraId="4D8F333A" w14:textId="7FA233AC" w:rsidR="007E0EF6" w:rsidRDefault="000114BF" w:rsidP="000114BF">
      <w:r w:rsidRPr="00762E96">
        <w:t xml:space="preserve">There is an opportunity to build on the existing reporting frameworks. Since progress reports already </w:t>
      </w:r>
      <w:r w:rsidR="00D9694D">
        <w:t xml:space="preserve">attempt to </w:t>
      </w:r>
      <w:r w:rsidR="007E0EF6">
        <w:t xml:space="preserve">collate expenditure figures, a process of reviewing existing figures and checking these against outturn should be possible. </w:t>
      </w:r>
    </w:p>
    <w:p w14:paraId="114EB619" w14:textId="5123C68B" w:rsidR="0019202E" w:rsidRPr="0019202E" w:rsidRDefault="00796C26" w:rsidP="0019202E">
      <w:r>
        <w:t>Some progress has been made in fiscal transparency. The publication of the 2025-26 Scottish Budget included a breakdown of</w:t>
      </w:r>
      <w:r w:rsidR="00F0705A">
        <w:t xml:space="preserve"> outturn spend at </w:t>
      </w:r>
      <w:r>
        <w:t xml:space="preserve">for 2024-25 at </w:t>
      </w:r>
      <w:r w:rsidR="00F0705A">
        <w:t>Level 4</w:t>
      </w:r>
      <w:r>
        <w:t>s</w:t>
      </w:r>
      <w:r w:rsidR="00F0705A">
        <w:t xml:space="preserve"> (</w:t>
      </w:r>
      <w:r w:rsidR="00AD78B3">
        <w:t>a relatively detailed level of disaggregation of spend)</w:t>
      </w:r>
      <w:r>
        <w:t xml:space="preserve">. This will mean that for future updates of this analysis, </w:t>
      </w:r>
      <w:r w:rsidR="00D225EA">
        <w:t>there will be more scope to</w:t>
      </w:r>
      <w:r w:rsidR="00E07B00">
        <w:t xml:space="preserve"> cross check figures in the progress report with </w:t>
      </w:r>
      <w:r w:rsidR="00CA258B">
        <w:t>published outturn data. This will not cover all actions related to child poverty as things stand</w:t>
      </w:r>
      <w:r w:rsidR="00D9694D">
        <w:t xml:space="preserve"> as some policies and programmes will be aggregated into level 4 figures</w:t>
      </w:r>
      <w:r w:rsidR="00B77884">
        <w:t xml:space="preserve"> and not be available at ‘action’ level</w:t>
      </w:r>
      <w:r w:rsidR="00D9694D">
        <w:t xml:space="preserve">. </w:t>
      </w:r>
      <w:r w:rsidR="0019202E" w:rsidRPr="0019202E">
        <w:t>We would like to see stronger commitments to transparency in child poverty spending, which would also enhance scrutiny across other areas of expenditure.</w:t>
      </w:r>
    </w:p>
    <w:p w14:paraId="0D68072F" w14:textId="77777777" w:rsidR="00431627" w:rsidRDefault="00762E96" w:rsidP="00762E96">
      <w:pPr>
        <w:numPr>
          <w:ilvl w:val="0"/>
          <w:numId w:val="5"/>
        </w:numPr>
      </w:pPr>
      <w:r w:rsidRPr="00762E96">
        <w:rPr>
          <w:b/>
          <w:bCs/>
        </w:rPr>
        <w:t>Social security data</w:t>
      </w:r>
      <w:r w:rsidRPr="00762E96">
        <w:t xml:space="preserve"> </w:t>
      </w:r>
    </w:p>
    <w:p w14:paraId="541A603F" w14:textId="77777777" w:rsidR="002F7C70" w:rsidRDefault="001C5F68" w:rsidP="00431627">
      <w:pPr>
        <w:ind w:left="720"/>
      </w:pPr>
      <w:r>
        <w:t>As touched upon in the introduction section, we have encountered difficulties in identifying the primary and single source of truth on expenditure on devolved social security benefits. In our initial examination of the OSCAR data, it appeared that dedicated subsegments would allow us to identify expenditure on most devolved benefits of interest (although not the Scottish Child Payment as this is included in a broader subsegment</w:t>
      </w:r>
      <w:r w:rsidR="00AB2E40">
        <w:t>)</w:t>
      </w:r>
      <w:r>
        <w:t xml:space="preserve">. However, on closer examination, these figures are different from the statistics produced by Social Security Scotland, which produces regular statistical outputs on each benefit individually. </w:t>
      </w:r>
    </w:p>
    <w:p w14:paraId="3C061B0B" w14:textId="30F46518" w:rsidR="002F7C70" w:rsidRDefault="001C5F68" w:rsidP="00431627">
      <w:pPr>
        <w:ind w:left="720"/>
      </w:pPr>
      <w:proofErr w:type="gramStart"/>
      <w:r>
        <w:t>Both of these</w:t>
      </w:r>
      <w:proofErr w:type="gramEnd"/>
      <w:r>
        <w:t xml:space="preserve"> </w:t>
      </w:r>
      <w:r w:rsidR="009A7B2B">
        <w:t>source’s</w:t>
      </w:r>
      <w:r>
        <w:t xml:space="preserve"> feed into other annual publications, such as Government Expenditure and Revenue Scotland (GERS) and the Fiscal Framework Outturn Report, but again there is a lack of consistency between these publications</w:t>
      </w:r>
      <w:r w:rsidR="002F7C70">
        <w:t xml:space="preserve">. </w:t>
      </w:r>
    </w:p>
    <w:p w14:paraId="02E36956" w14:textId="5885D30B" w:rsidR="00662CE5" w:rsidRPr="00662CE5" w:rsidRDefault="00662CE5" w:rsidP="00662CE5">
      <w:pPr>
        <w:ind w:left="720"/>
      </w:pPr>
      <w:r w:rsidRPr="00662CE5">
        <w:t xml:space="preserve">After seeking advice from the Scottish Fiscal Commission, we have used data from their Forecast Evaluation reports and the Fiscal Framework data annex, which was published alongside the Scottish Budget in December 2024. Where necessary we have also used Social Security Scotland Annual Reports. For benefit payments with a corresponding BGA, we have used data produced alongside the Scottish Fiscal Commission's Forecast </w:t>
      </w:r>
      <w:r w:rsidRPr="00662CE5">
        <w:lastRenderedPageBreak/>
        <w:t>Evaluation Reports in Supplementary spreadsheets, which gives figures which are consistent with Social Security Scotland Accounts (after all overpayments and other adjustments are accounted for) for the payments, and data from the Fiscal Framework Data Annex for the BGAs.</w:t>
      </w:r>
      <w:r>
        <w:t xml:space="preserve"> </w:t>
      </w:r>
      <w:r w:rsidRPr="00662CE5">
        <w:t>For those benefits without a corresponding BGA, such as the Scottish Child Payment we have used the Scottish Fiscal Commission's Forecast Evaluation Report Supplementary spreadsheets.</w:t>
      </w:r>
      <w:r>
        <w:t xml:space="preserve"> </w:t>
      </w:r>
      <w:r w:rsidRPr="00662CE5">
        <w:t>For those payments which are administered by Social Security Scotland, but not covered by SFC forecasting (such as the Young Carers Grant) we have gone through individual years of Social Security Scotland Accounts to get the figures, which should then be on the same basis as the figures produced by the SFC.</w:t>
      </w:r>
      <w:r>
        <w:t xml:space="preserve"> </w:t>
      </w:r>
      <w:r w:rsidRPr="00662CE5">
        <w:t>The detail for the source for each payment is given in the accompanying spreadsheet</w:t>
      </w:r>
    </w:p>
    <w:p w14:paraId="687CD578" w14:textId="77777777" w:rsidR="00431627" w:rsidRDefault="00762E96" w:rsidP="005A5913">
      <w:pPr>
        <w:numPr>
          <w:ilvl w:val="0"/>
          <w:numId w:val="7"/>
        </w:numPr>
        <w:rPr>
          <w:b/>
          <w:bCs/>
        </w:rPr>
      </w:pPr>
      <w:r w:rsidRPr="000705C5">
        <w:rPr>
          <w:b/>
          <w:bCs/>
        </w:rPr>
        <w:t>Employability expenditure</w:t>
      </w:r>
    </w:p>
    <w:p w14:paraId="1C6BD985" w14:textId="1816571B" w:rsidR="000705C5" w:rsidRPr="000705C5" w:rsidRDefault="000705C5" w:rsidP="00431627">
      <w:pPr>
        <w:ind w:left="720"/>
        <w:rPr>
          <w:b/>
          <w:bCs/>
        </w:rPr>
      </w:pPr>
      <w:r>
        <w:t>As already discussed, t</w:t>
      </w:r>
      <w:r w:rsidR="00762E96" w:rsidRPr="00762E96">
        <w:t xml:space="preserve">racking spending related to employability has become more difficult. </w:t>
      </w:r>
      <w:r>
        <w:t xml:space="preserve">This will continue to cause problems for monitoring outturn expenditure in the future. </w:t>
      </w:r>
    </w:p>
    <w:p w14:paraId="7FE83A28" w14:textId="3BF6CADF" w:rsidR="00F50BAE" w:rsidRDefault="000705C5" w:rsidP="000705C5">
      <w:pPr>
        <w:ind w:left="720"/>
      </w:pPr>
      <w:r>
        <w:t xml:space="preserve">It is unclear whether Scottish Government have set up </w:t>
      </w:r>
      <w:r w:rsidR="001524BE">
        <w:t>appropriate</w:t>
      </w:r>
      <w:r>
        <w:t xml:space="preserve"> monitoring frameworks to capture outturn expenditure that encapsulates programmes that are part of No One Left Behind allocations</w:t>
      </w:r>
      <w:r w:rsidR="001524BE">
        <w:t>. To do so, they would also need to collate information on spend related to</w:t>
      </w:r>
      <w:r>
        <w:t xml:space="preserve"> funding that comes from other sources of public funding (General Revenue Grants and Council Tax income). </w:t>
      </w:r>
      <w:r w:rsidR="00F50BAE">
        <w:t>This would allow them to understand whether the additional money for No One Left Behind is being passed through</w:t>
      </w:r>
      <w:r w:rsidR="004559BB">
        <w:t xml:space="preserve">, as opposed to being used to offset cuts in employability spend elsewhere. </w:t>
      </w:r>
    </w:p>
    <w:p w14:paraId="6185F7C3" w14:textId="3DB9F1A2" w:rsidR="000705C5" w:rsidRDefault="000705C5" w:rsidP="000705C5">
      <w:pPr>
        <w:ind w:left="720"/>
      </w:pPr>
      <w:r>
        <w:t xml:space="preserve">There are examples of some annual reports that do present outturn spend by </w:t>
      </w:r>
      <w:r w:rsidR="00FE5FE0">
        <w:t>funding source</w:t>
      </w:r>
      <w:r>
        <w:t xml:space="preserve"> (for example, Shetland’s </w:t>
      </w:r>
      <w:r w:rsidR="00431627">
        <w:t xml:space="preserve">Local Employability Partnership </w:t>
      </w:r>
      <w:r>
        <w:t xml:space="preserve">2024/25 </w:t>
      </w:r>
      <w:r w:rsidR="006C3A6E">
        <w:t>investment plan</w:t>
      </w:r>
      <w:r>
        <w:t xml:space="preserve"> has outturn spend against budget for 2023/24</w:t>
      </w:r>
      <w:r w:rsidR="00431627">
        <w:fldChar w:fldCharType="begin"/>
      </w:r>
      <w:r w:rsidR="00E81CC5">
        <w:instrText xml:space="preserve"> ADDIN EN.CITE &lt;EndNote&gt;&lt;Cite&gt;&lt;Author&gt;Partnership:&lt;/Author&gt;&lt;Year&gt;2023&lt;/Year&gt;&lt;RecNum&gt;196&lt;/RecNum&gt;&lt;DisplayText&gt;(11)&lt;/DisplayText&gt;&lt;record&gt;&lt;rec-number&gt;196&lt;/rec-number&gt;&lt;foreign-keys&gt;&lt;key app="EN" db-id="wwx2fs9t4eep51e9ewcxfs9msx0rxwf9dsv2" timestamp="1750359434"&gt;196&lt;/key&gt;&lt;/foreign-keys&gt;&lt;ref-type name="Report"&gt;27&lt;/ref-type&gt;&lt;contributors&gt;&lt;authors&gt;&lt;author&gt;Shetland Local Employability Partnership:&lt;/author&gt;&lt;/authors&gt;&lt;/contributors&gt;&lt;titles&gt;&lt;title&gt;Annual Investment Plan 2024-25&lt;/title&gt;&lt;/titles&gt;&lt;dates&gt;&lt;year&gt;2023&lt;/year&gt;&lt;/dates&gt;&lt;urls&gt;&lt;related-urls&gt;&lt;url&gt;https://www.employabilityinscotland.com/media/rigkygnu/shetland-local-employability-partnership-annual-investment-plan-24-25.pdf&lt;/url&gt;&lt;/related-urls&gt;&lt;/urls&gt;&lt;/record&gt;&lt;/Cite&gt;&lt;/EndNote&gt;</w:instrText>
      </w:r>
      <w:r w:rsidR="00431627">
        <w:fldChar w:fldCharType="separate"/>
      </w:r>
      <w:r w:rsidR="00431627">
        <w:rPr>
          <w:noProof/>
        </w:rPr>
        <w:t>(11)</w:t>
      </w:r>
      <w:r w:rsidR="00431627">
        <w:fldChar w:fldCharType="end"/>
      </w:r>
      <w:r>
        <w:t xml:space="preserve">) but we </w:t>
      </w:r>
      <w:r w:rsidR="00FE5FE0">
        <w:t xml:space="preserve">haven’t been able to source </w:t>
      </w:r>
      <w:r>
        <w:t>published</w:t>
      </w:r>
      <w:r w:rsidR="00FE5FE0">
        <w:t xml:space="preserve"> copies of</w:t>
      </w:r>
      <w:r w:rsidR="00431627">
        <w:t xml:space="preserve"> reports from other parts of Scotland</w:t>
      </w:r>
      <w:r w:rsidR="00FE5FE0">
        <w:t>, and therefore do not know</w:t>
      </w:r>
      <w:r>
        <w:t xml:space="preserve"> whether they all contain this information on outturn. </w:t>
      </w:r>
      <w:r w:rsidR="00FE5FE0">
        <w:t xml:space="preserve">Certainly, there appears to be no collation of information </w:t>
      </w:r>
      <w:r w:rsidR="00B77884" w:rsidRPr="00B77884">
        <w:t>from local authorties on outturn spend by Scottish Government despite clear guidelines given to local authorities on how some of the funds must be spent.</w:t>
      </w:r>
    </w:p>
    <w:p w14:paraId="49D22FF3" w14:textId="695A569F" w:rsidR="00FE5FE0" w:rsidRDefault="00FE5FE0" w:rsidP="000705C5">
      <w:pPr>
        <w:ind w:left="720"/>
      </w:pPr>
      <w:r>
        <w:t xml:space="preserve">We </w:t>
      </w:r>
      <w:r w:rsidR="00431627">
        <w:t xml:space="preserve">also </w:t>
      </w:r>
      <w:r>
        <w:t xml:space="preserve">note that there is no Local Finance Return on employability as there are for other areas (i.e. Early Learning and Childcare) with employability spend being contained within a larger budget line related to Economic Development in LFF 07. </w:t>
      </w:r>
    </w:p>
    <w:p w14:paraId="39ECFA9E" w14:textId="77777777" w:rsidR="00431627" w:rsidRDefault="00445639" w:rsidP="00762E96">
      <w:pPr>
        <w:pStyle w:val="ListParagraph"/>
        <w:numPr>
          <w:ilvl w:val="0"/>
          <w:numId w:val="7"/>
        </w:numPr>
        <w:rPr>
          <w:b/>
          <w:bCs/>
        </w:rPr>
      </w:pPr>
      <w:r w:rsidRPr="000705C5">
        <w:rPr>
          <w:b/>
          <w:bCs/>
        </w:rPr>
        <w:t>Spending to the Third Sector</w:t>
      </w:r>
      <w:r w:rsidR="000D79A8" w:rsidRPr="000705C5">
        <w:rPr>
          <w:b/>
          <w:bCs/>
        </w:rPr>
        <w:t xml:space="preserve"> and disparities in reporting requirements</w:t>
      </w:r>
    </w:p>
    <w:p w14:paraId="4F3173A2" w14:textId="77777777" w:rsidR="00431627" w:rsidRDefault="00431627" w:rsidP="00431627">
      <w:pPr>
        <w:pStyle w:val="ListParagraph"/>
      </w:pPr>
    </w:p>
    <w:p w14:paraId="5D2A501F" w14:textId="56106CF9" w:rsidR="00D40F47" w:rsidRPr="00D40F47" w:rsidRDefault="000D79A8" w:rsidP="00431627">
      <w:pPr>
        <w:pStyle w:val="ListParagraph"/>
        <w:rPr>
          <w:b/>
          <w:bCs/>
        </w:rPr>
      </w:pPr>
      <w:r w:rsidRPr="000D79A8">
        <w:t>There is insufficient transparency in the reporting of funding provided to third sector delivery partners. In many cases, we have only been able to identify this information through the published accounts of the organisations themselves. It feels inappropriate that charities are held to a higher standard of financial transparency than the Scottish Government in this context.</w:t>
      </w:r>
    </w:p>
    <w:p w14:paraId="1ED62FDE" w14:textId="77777777" w:rsidR="00D40F47" w:rsidRPr="00D40F47" w:rsidRDefault="00D40F47" w:rsidP="00D40F47">
      <w:pPr>
        <w:pStyle w:val="ListParagraph"/>
        <w:rPr>
          <w:b/>
          <w:bCs/>
        </w:rPr>
      </w:pPr>
    </w:p>
    <w:p w14:paraId="535E1AAD" w14:textId="3A3D50B0" w:rsidR="00762E96" w:rsidRPr="00D40F47" w:rsidRDefault="008C5845" w:rsidP="008C5845">
      <w:pPr>
        <w:pStyle w:val="ListParagraph"/>
        <w:numPr>
          <w:ilvl w:val="0"/>
          <w:numId w:val="7"/>
        </w:numPr>
        <w:rPr>
          <w:b/>
          <w:bCs/>
        </w:rPr>
      </w:pPr>
      <w:r>
        <w:rPr>
          <w:b/>
          <w:bCs/>
        </w:rPr>
        <w:t>Reporting on funds</w:t>
      </w:r>
    </w:p>
    <w:p w14:paraId="5C323C82" w14:textId="180371D9" w:rsidR="00762E96" w:rsidRPr="00762E96" w:rsidRDefault="00762E96" w:rsidP="00D40F47">
      <w:pPr>
        <w:ind w:left="720"/>
      </w:pPr>
      <w:r w:rsidRPr="00762E96">
        <w:t xml:space="preserve">Many interventions are delivered through competitive funds that organisations—often third sector groups or local authorities—must apply to. While the total value of these </w:t>
      </w:r>
      <w:r w:rsidRPr="00762E96">
        <w:lastRenderedPageBreak/>
        <w:t xml:space="preserve">funds is usually announced publicly, it is often unclear how much is </w:t>
      </w:r>
      <w:proofErr w:type="gramStart"/>
      <w:r w:rsidRPr="00762E96">
        <w:t>actually spent</w:t>
      </w:r>
      <w:proofErr w:type="gramEnd"/>
      <w:r w:rsidRPr="00762E96">
        <w:t xml:space="preserve"> </w:t>
      </w:r>
      <w:proofErr w:type="gramStart"/>
      <w:r w:rsidRPr="00762E96">
        <w:t>in a given year</w:t>
      </w:r>
      <w:proofErr w:type="gramEnd"/>
      <w:r w:rsidRPr="00762E96">
        <w:t xml:space="preserve">, or in total. Information is sometimes only made available through Freedom of Information (FOI) requests. A more transparent and proactive approach to reporting on the use of these funds would be welcome. An example can be seen here: </w:t>
      </w:r>
      <w:hyperlink r:id="rId20" w:history="1">
        <w:r w:rsidRPr="00762E96">
          <w:rPr>
            <w:rStyle w:val="Hyperlink"/>
          </w:rPr>
          <w:t>Debt Advice Levy Funding</w:t>
        </w:r>
      </w:hyperlink>
      <w:r w:rsidR="00DC154C">
        <w:t xml:space="preserve">. </w:t>
      </w:r>
    </w:p>
    <w:p w14:paraId="2F8E9DE0" w14:textId="77777777" w:rsidR="0097379A" w:rsidRPr="0097379A" w:rsidRDefault="0097379A" w:rsidP="0097379A">
      <w:pPr>
        <w:pStyle w:val="ListParagraph"/>
        <w:numPr>
          <w:ilvl w:val="0"/>
          <w:numId w:val="7"/>
        </w:numPr>
      </w:pPr>
      <w:r>
        <w:rPr>
          <w:b/>
          <w:bCs/>
        </w:rPr>
        <w:t xml:space="preserve">Governance approach </w:t>
      </w:r>
    </w:p>
    <w:p w14:paraId="1E666551" w14:textId="77777777" w:rsidR="0097379A" w:rsidRDefault="0097379A" w:rsidP="0097379A">
      <w:pPr>
        <w:pStyle w:val="ListParagraph"/>
        <w:rPr>
          <w:b/>
          <w:bCs/>
        </w:rPr>
      </w:pPr>
    </w:p>
    <w:p w14:paraId="5D4D5251" w14:textId="0D4B5772" w:rsidR="008C5845" w:rsidRPr="00634139" w:rsidRDefault="008C5845" w:rsidP="0097379A">
      <w:pPr>
        <w:pStyle w:val="ListParagraph"/>
      </w:pPr>
      <w:r>
        <w:t xml:space="preserve">The Code of Practice for Statistics is an existing </w:t>
      </w:r>
      <w:r w:rsidR="000A05F5">
        <w:t xml:space="preserve">framework to ensure </w:t>
      </w:r>
      <w:r>
        <w:t xml:space="preserve">quality, trusted, timely data </w:t>
      </w:r>
      <w:r w:rsidR="000A05F5">
        <w:t>is</w:t>
      </w:r>
      <w:r>
        <w:t xml:space="preserve"> published which provides public value. </w:t>
      </w:r>
      <w:r w:rsidR="000A05F5">
        <w:t xml:space="preserve">Given the importance of child poverty as a government priority, the </w:t>
      </w:r>
      <w:r>
        <w:t xml:space="preserve">standards applied </w:t>
      </w:r>
      <w:r w:rsidR="000A05F5">
        <w:t>here should</w:t>
      </w:r>
      <w:r>
        <w:t xml:space="preserve"> therefore be </w:t>
      </w:r>
      <w:r w:rsidR="000A05F5">
        <w:t>in line with</w:t>
      </w:r>
      <w:r>
        <w:t xml:space="preserve"> best practice. This should include proactively addressing any apparent inconsistencies in data from different statistical publications and sources (e.g. financial reporting and Social Security Scotland statistics) and co-ordinating across delivery agencies and departments to ensure that the information published adds transparency.</w:t>
      </w:r>
    </w:p>
    <w:p w14:paraId="3108941B" w14:textId="77777777" w:rsidR="00762E96" w:rsidRDefault="00762E96" w:rsidP="00762E96"/>
    <w:p w14:paraId="3DEE640E" w14:textId="77777777" w:rsidR="0096104C" w:rsidRDefault="0096104C">
      <w:pPr>
        <w:rPr>
          <w:rFonts w:eastAsiaTheme="majorEastAsia" w:cstheme="majorBidi"/>
          <w:color w:val="0F4761" w:themeColor="accent1" w:themeShade="BF"/>
          <w:sz w:val="28"/>
          <w:szCs w:val="28"/>
        </w:rPr>
      </w:pPr>
      <w:r>
        <w:br w:type="page"/>
      </w:r>
    </w:p>
    <w:p w14:paraId="54D1F35B" w14:textId="2A4BEDCC" w:rsidR="00717B77" w:rsidRDefault="00717B77" w:rsidP="00413FFA">
      <w:pPr>
        <w:pStyle w:val="Heading2"/>
      </w:pPr>
      <w:bookmarkStart w:id="9" w:name="_Toc201763577"/>
      <w:r>
        <w:lastRenderedPageBreak/>
        <w:t>Recommendations</w:t>
      </w:r>
      <w:bookmarkEnd w:id="9"/>
    </w:p>
    <w:p w14:paraId="08FEA46F" w14:textId="12BC1B09" w:rsidR="00634139" w:rsidRPr="005452A5" w:rsidRDefault="00634139" w:rsidP="005452A5">
      <w:pPr>
        <w:pStyle w:val="ListParagraph"/>
        <w:numPr>
          <w:ilvl w:val="0"/>
          <w:numId w:val="15"/>
        </w:numPr>
        <w:rPr>
          <w:b/>
          <w:bCs/>
        </w:rPr>
      </w:pPr>
      <w:r w:rsidRPr="005452A5">
        <w:rPr>
          <w:b/>
          <w:bCs/>
        </w:rPr>
        <w:t xml:space="preserve">Improve </w:t>
      </w:r>
      <w:r w:rsidR="005452A5" w:rsidRPr="005452A5">
        <w:rPr>
          <w:b/>
          <w:bCs/>
        </w:rPr>
        <w:t>c</w:t>
      </w:r>
      <w:r w:rsidRPr="005452A5">
        <w:rPr>
          <w:b/>
          <w:bCs/>
        </w:rPr>
        <w:t xml:space="preserve">larity on </w:t>
      </w:r>
      <w:r w:rsidR="005452A5" w:rsidRPr="005452A5">
        <w:rPr>
          <w:b/>
          <w:bCs/>
        </w:rPr>
        <w:t>t</w:t>
      </w:r>
      <w:r w:rsidRPr="005452A5">
        <w:rPr>
          <w:b/>
          <w:bCs/>
        </w:rPr>
        <w:t xml:space="preserve">ypes of </w:t>
      </w:r>
      <w:r w:rsidR="005452A5" w:rsidRPr="005452A5">
        <w:rPr>
          <w:b/>
          <w:bCs/>
        </w:rPr>
        <w:t>s</w:t>
      </w:r>
      <w:r w:rsidRPr="005452A5">
        <w:rPr>
          <w:b/>
          <w:bCs/>
        </w:rPr>
        <w:t>pend in progress reports</w:t>
      </w:r>
    </w:p>
    <w:p w14:paraId="2BF6E6F4" w14:textId="5871C836" w:rsidR="00634139" w:rsidRPr="00D40F47" w:rsidRDefault="00634139" w:rsidP="005452A5">
      <w:r>
        <w:t xml:space="preserve">In </w:t>
      </w:r>
      <w:r w:rsidR="005452A5">
        <w:t>p</w:t>
      </w:r>
      <w:r>
        <w:t xml:space="preserve">rogress </w:t>
      </w:r>
      <w:r w:rsidR="005452A5">
        <w:t>r</w:t>
      </w:r>
      <w:r w:rsidRPr="00D40F47">
        <w:t>eports, the Scottish Government should clearly distinguish between:</w:t>
      </w:r>
    </w:p>
    <w:p w14:paraId="3A06F40F" w14:textId="77777777" w:rsidR="00634139" w:rsidRPr="00D40F47" w:rsidRDefault="00634139" w:rsidP="00634139">
      <w:pPr>
        <w:numPr>
          <w:ilvl w:val="1"/>
          <w:numId w:val="8"/>
        </w:numPr>
      </w:pPr>
      <w:r w:rsidRPr="00D40F47">
        <w:t>Audited outturn expenditure</w:t>
      </w:r>
    </w:p>
    <w:p w14:paraId="37CDBFFD" w14:textId="77777777" w:rsidR="00634139" w:rsidRPr="00D40F47" w:rsidRDefault="00634139" w:rsidP="00634139">
      <w:pPr>
        <w:numPr>
          <w:ilvl w:val="1"/>
          <w:numId w:val="8"/>
        </w:numPr>
      </w:pPr>
      <w:r w:rsidRPr="00D40F47">
        <w:t>Estimated spend</w:t>
      </w:r>
    </w:p>
    <w:p w14:paraId="6B4B0CE6" w14:textId="77777777" w:rsidR="00634139" w:rsidRPr="00D40F47" w:rsidRDefault="00634139" w:rsidP="00634139">
      <w:pPr>
        <w:numPr>
          <w:ilvl w:val="1"/>
          <w:numId w:val="8"/>
        </w:numPr>
      </w:pPr>
      <w:r w:rsidRPr="00D40F47">
        <w:t>Budgeted allocations</w:t>
      </w:r>
    </w:p>
    <w:p w14:paraId="039D3179" w14:textId="36DD5F3C" w:rsidR="00634139" w:rsidRDefault="00634139" w:rsidP="00634139">
      <w:r>
        <w:t xml:space="preserve">Each </w:t>
      </w:r>
      <w:r w:rsidR="00261FFF">
        <w:t>progress report</w:t>
      </w:r>
      <w:r>
        <w:t xml:space="preserve"> should </w:t>
      </w:r>
      <w:r w:rsidRPr="00D40F47">
        <w:t xml:space="preserve">include a multi-year breakdown of </w:t>
      </w:r>
      <w:r w:rsidR="00261FFF">
        <w:t>expenditure</w:t>
      </w:r>
      <w:r w:rsidRPr="00D40F47">
        <w:t xml:space="preserve"> by action or programme, either in the main report or as a supporting annex.</w:t>
      </w:r>
      <w:r w:rsidR="008A347F">
        <w:t xml:space="preserve"> </w:t>
      </w:r>
      <w:r w:rsidR="00261FFF">
        <w:t xml:space="preserve">This should be revised to take account of outturn information when it becomes available. </w:t>
      </w:r>
    </w:p>
    <w:p w14:paraId="186F8FFD" w14:textId="307250B3" w:rsidR="002A1F02" w:rsidRDefault="002A1F02" w:rsidP="00634139">
      <w:r>
        <w:t>The process of confirming outturn expenditure should be completed in advance of the third and final delivery plan, due in 2026</w:t>
      </w:r>
      <w:r w:rsidR="00ED5967">
        <w:t xml:space="preserve">. </w:t>
      </w:r>
    </w:p>
    <w:p w14:paraId="6A5FFA3C" w14:textId="031E8984" w:rsidR="00634139" w:rsidRPr="004E16EF" w:rsidRDefault="00DA2951" w:rsidP="004E16EF">
      <w:pPr>
        <w:pStyle w:val="ListParagraph"/>
        <w:numPr>
          <w:ilvl w:val="0"/>
          <w:numId w:val="15"/>
        </w:numPr>
        <w:rPr>
          <w:b/>
          <w:bCs/>
        </w:rPr>
      </w:pPr>
      <w:r w:rsidRPr="004E16EF">
        <w:rPr>
          <w:b/>
          <w:bCs/>
        </w:rPr>
        <w:t xml:space="preserve">Improve approach for </w:t>
      </w:r>
      <w:r w:rsidR="005452A5" w:rsidRPr="004E16EF">
        <w:rPr>
          <w:b/>
          <w:bCs/>
        </w:rPr>
        <w:t>r</w:t>
      </w:r>
      <w:r w:rsidR="00634139" w:rsidRPr="004E16EF">
        <w:rPr>
          <w:b/>
          <w:bCs/>
        </w:rPr>
        <w:t xml:space="preserve">eporting for </w:t>
      </w:r>
      <w:r w:rsidR="005452A5" w:rsidRPr="004E16EF">
        <w:rPr>
          <w:b/>
          <w:bCs/>
        </w:rPr>
        <w:t>e</w:t>
      </w:r>
      <w:r w:rsidR="00634139" w:rsidRPr="004E16EF">
        <w:rPr>
          <w:b/>
          <w:bCs/>
        </w:rPr>
        <w:t xml:space="preserve">mployability </w:t>
      </w:r>
      <w:r w:rsidR="005452A5" w:rsidRPr="004E16EF">
        <w:rPr>
          <w:b/>
          <w:bCs/>
        </w:rPr>
        <w:t>s</w:t>
      </w:r>
      <w:r w:rsidR="00634139" w:rsidRPr="004E16EF">
        <w:rPr>
          <w:b/>
          <w:bCs/>
        </w:rPr>
        <w:t>pend</w:t>
      </w:r>
    </w:p>
    <w:p w14:paraId="0D03BAEF" w14:textId="50879492" w:rsidR="00FE5FE0" w:rsidRPr="00FE5FE0" w:rsidRDefault="00634139" w:rsidP="005452A5">
      <w:pPr>
        <w:rPr>
          <w:rStyle w:val="CommentReference"/>
          <w:b/>
          <w:bCs/>
          <w:sz w:val="22"/>
          <w:szCs w:val="22"/>
        </w:rPr>
      </w:pPr>
      <w:r>
        <w:t xml:space="preserve">Consider financial reporting by </w:t>
      </w:r>
      <w:r w:rsidR="005452A5">
        <w:t xml:space="preserve">local areas </w:t>
      </w:r>
      <w:r>
        <w:t>on N</w:t>
      </w:r>
      <w:r w:rsidR="005452A5">
        <w:t xml:space="preserve">o </w:t>
      </w:r>
      <w:r>
        <w:t>O</w:t>
      </w:r>
      <w:r w:rsidR="005452A5">
        <w:t xml:space="preserve">ne </w:t>
      </w:r>
      <w:r>
        <w:t>L</w:t>
      </w:r>
      <w:r w:rsidR="005452A5">
        <w:t xml:space="preserve">eft </w:t>
      </w:r>
      <w:r>
        <w:t>B</w:t>
      </w:r>
      <w:r w:rsidR="005452A5">
        <w:t>ehind</w:t>
      </w:r>
      <w:r>
        <w:t>, for example, through an additional LFR return as has been done for ELC</w:t>
      </w:r>
      <w:r w:rsidR="00FE5FE0">
        <w:t xml:space="preserve"> of through collating information already gathered from local areas. </w:t>
      </w:r>
    </w:p>
    <w:p w14:paraId="2FA33314" w14:textId="574B4F63" w:rsidR="00634139" w:rsidRPr="004E16EF" w:rsidRDefault="00634139" w:rsidP="004E16EF">
      <w:pPr>
        <w:pStyle w:val="ListParagraph"/>
        <w:numPr>
          <w:ilvl w:val="0"/>
          <w:numId w:val="15"/>
        </w:numPr>
        <w:rPr>
          <w:b/>
          <w:bCs/>
        </w:rPr>
      </w:pPr>
      <w:r w:rsidRPr="004E16EF">
        <w:rPr>
          <w:b/>
          <w:bCs/>
        </w:rPr>
        <w:t xml:space="preserve">Apply </w:t>
      </w:r>
      <w:r w:rsidR="00DA2951" w:rsidRPr="004E16EF">
        <w:rPr>
          <w:b/>
          <w:bCs/>
        </w:rPr>
        <w:t>c</w:t>
      </w:r>
      <w:r w:rsidRPr="004E16EF">
        <w:rPr>
          <w:b/>
          <w:bCs/>
        </w:rPr>
        <w:t xml:space="preserve">onsistent </w:t>
      </w:r>
      <w:r w:rsidR="00DA2951" w:rsidRPr="004E16EF">
        <w:rPr>
          <w:b/>
          <w:bCs/>
        </w:rPr>
        <w:t>t</w:t>
      </w:r>
      <w:r w:rsidRPr="004E16EF">
        <w:rPr>
          <w:b/>
          <w:bCs/>
        </w:rPr>
        <w:t xml:space="preserve">ransparency </w:t>
      </w:r>
      <w:r w:rsidR="00DA2951" w:rsidRPr="004E16EF">
        <w:rPr>
          <w:b/>
          <w:bCs/>
        </w:rPr>
        <w:t>s</w:t>
      </w:r>
      <w:r w:rsidRPr="004E16EF">
        <w:rPr>
          <w:b/>
          <w:bCs/>
        </w:rPr>
        <w:t xml:space="preserve">tandards </w:t>
      </w:r>
    </w:p>
    <w:p w14:paraId="3A686244" w14:textId="2766D219" w:rsidR="00634139" w:rsidRPr="00634139" w:rsidRDefault="00634139" w:rsidP="00DA2951">
      <w:r w:rsidRPr="00634139">
        <w:t>Routinely publish data on how much is awarded and spent through grants or contracts with third sector delivery organisations.</w:t>
      </w:r>
    </w:p>
    <w:p w14:paraId="518EA31E" w14:textId="02E885BB" w:rsidR="00634139" w:rsidRPr="004E16EF" w:rsidRDefault="00634139" w:rsidP="004E16EF">
      <w:pPr>
        <w:pStyle w:val="ListParagraph"/>
        <w:numPr>
          <w:ilvl w:val="0"/>
          <w:numId w:val="15"/>
        </w:numPr>
        <w:rPr>
          <w:b/>
          <w:bCs/>
        </w:rPr>
      </w:pPr>
      <w:r w:rsidRPr="004E16EF">
        <w:rPr>
          <w:b/>
          <w:bCs/>
        </w:rPr>
        <w:t xml:space="preserve">Improve </w:t>
      </w:r>
      <w:r w:rsidR="00DA2951" w:rsidRPr="004E16EF">
        <w:rPr>
          <w:b/>
          <w:bCs/>
        </w:rPr>
        <w:t>r</w:t>
      </w:r>
      <w:r w:rsidRPr="004E16EF">
        <w:rPr>
          <w:b/>
          <w:bCs/>
        </w:rPr>
        <w:t xml:space="preserve">eporting on </w:t>
      </w:r>
      <w:r w:rsidR="00DA2951" w:rsidRPr="004E16EF">
        <w:rPr>
          <w:b/>
          <w:bCs/>
        </w:rPr>
        <w:t>c</w:t>
      </w:r>
      <w:r w:rsidRPr="004E16EF">
        <w:rPr>
          <w:b/>
          <w:bCs/>
        </w:rPr>
        <w:t xml:space="preserve">ompetitive </w:t>
      </w:r>
      <w:r w:rsidR="00DA2951" w:rsidRPr="004E16EF">
        <w:rPr>
          <w:b/>
          <w:bCs/>
        </w:rPr>
        <w:t>f</w:t>
      </w:r>
      <w:r w:rsidRPr="004E16EF">
        <w:rPr>
          <w:b/>
          <w:bCs/>
        </w:rPr>
        <w:t>unds</w:t>
      </w:r>
    </w:p>
    <w:p w14:paraId="426A1676" w14:textId="4B3540A9" w:rsidR="00634139" w:rsidRPr="00D40F47" w:rsidRDefault="00634139" w:rsidP="00E933CD">
      <w:r w:rsidRPr="00634139">
        <w:t>For all Scottish Government-administered funds (e.g. third sector grants, local authority challenge funds)</w:t>
      </w:r>
      <w:r w:rsidR="00E933CD">
        <w:t xml:space="preserve"> p</w:t>
      </w:r>
      <w:r w:rsidRPr="00D40F47">
        <w:t>ublish annual breakdowns of actual spend (not just total allocations or fund size)</w:t>
      </w:r>
      <w:r w:rsidR="00E933CD">
        <w:t xml:space="preserve"> and report </w:t>
      </w:r>
      <w:r w:rsidRPr="00D40F47">
        <w:t>this data in a centralised and routinely updated public source, to avoid reliance on FOI requests.</w:t>
      </w:r>
    </w:p>
    <w:p w14:paraId="5821DDE3" w14:textId="77C7D63D" w:rsidR="00634139" w:rsidRPr="004E16EF" w:rsidRDefault="00634139" w:rsidP="004E16EF">
      <w:pPr>
        <w:pStyle w:val="ListParagraph"/>
        <w:numPr>
          <w:ilvl w:val="0"/>
          <w:numId w:val="15"/>
        </w:numPr>
        <w:rPr>
          <w:b/>
          <w:bCs/>
        </w:rPr>
      </w:pPr>
      <w:r w:rsidRPr="004E16EF">
        <w:rPr>
          <w:b/>
          <w:bCs/>
        </w:rPr>
        <w:t xml:space="preserve">Strengthen </w:t>
      </w:r>
      <w:r w:rsidR="00E933CD" w:rsidRPr="004E16EF">
        <w:rPr>
          <w:b/>
          <w:bCs/>
        </w:rPr>
        <w:t>g</w:t>
      </w:r>
      <w:r w:rsidRPr="004E16EF">
        <w:rPr>
          <w:b/>
          <w:bCs/>
        </w:rPr>
        <w:t xml:space="preserve">overnance and </w:t>
      </w:r>
      <w:r w:rsidR="00E933CD" w:rsidRPr="004E16EF">
        <w:rPr>
          <w:b/>
          <w:bCs/>
        </w:rPr>
        <w:t>a</w:t>
      </w:r>
      <w:r w:rsidRPr="004E16EF">
        <w:rPr>
          <w:b/>
          <w:bCs/>
        </w:rPr>
        <w:t>ccountability</w:t>
      </w:r>
    </w:p>
    <w:p w14:paraId="04C7590A" w14:textId="71AAEF3F" w:rsidR="00634139" w:rsidRPr="00D40F47" w:rsidRDefault="00634139" w:rsidP="00E933CD">
      <w:r w:rsidRPr="00634139">
        <w:t xml:space="preserve">Establish </w:t>
      </w:r>
      <w:r w:rsidRPr="00D40F47">
        <w:t>clear internal guidance within</w:t>
      </w:r>
      <w:r w:rsidRPr="00634139">
        <w:t xml:space="preserve"> the Scottish Government on the minimum data standards for monitoring and reporting on delivery plan spend.</w:t>
      </w:r>
      <w:r w:rsidR="00E933CD">
        <w:t xml:space="preserve"> </w:t>
      </w:r>
      <w:r w:rsidRPr="00D40F47">
        <w:t>Consider assigning responsibility for financial oversight to a dedicated team or lead official to ensure consistency across departments and funding streams.</w:t>
      </w:r>
      <w:r w:rsidR="00E17883">
        <w:t xml:space="preserve"> Consider the application of the Code of Practice for Statistics and/or oversight of the Head of Profession</w:t>
      </w:r>
    </w:p>
    <w:p w14:paraId="7D04FC03" w14:textId="77777777" w:rsidR="004E16EF" w:rsidRDefault="004E16EF">
      <w:pPr>
        <w:rPr>
          <w:rFonts w:asciiTheme="majorHAnsi" w:eastAsiaTheme="majorEastAsia" w:hAnsiTheme="majorHAnsi" w:cstheme="majorBidi"/>
          <w:color w:val="0F4761" w:themeColor="accent1" w:themeShade="BF"/>
          <w:sz w:val="32"/>
          <w:szCs w:val="32"/>
        </w:rPr>
      </w:pPr>
      <w:r>
        <w:br w:type="page"/>
      </w:r>
    </w:p>
    <w:p w14:paraId="658E355D" w14:textId="42777D0C" w:rsidR="004224F0" w:rsidRPr="005E7F07" w:rsidRDefault="00B6338A" w:rsidP="00211C80">
      <w:pPr>
        <w:pStyle w:val="Heading2"/>
      </w:pPr>
      <w:bookmarkStart w:id="10" w:name="_Toc201763578"/>
      <w:r w:rsidRPr="005E7F07">
        <w:lastRenderedPageBreak/>
        <w:t xml:space="preserve">How do these figures differ from the Scottish Government’s </w:t>
      </w:r>
      <w:r w:rsidR="00D06D9E">
        <w:t>P</w:t>
      </w:r>
      <w:r w:rsidRPr="005E7F07">
        <w:t xml:space="preserve">rogress </w:t>
      </w:r>
      <w:r w:rsidR="00D06D9E">
        <w:t>R</w:t>
      </w:r>
      <w:r w:rsidRPr="005E7F07">
        <w:t>eports?</w:t>
      </w:r>
      <w:bookmarkEnd w:id="10"/>
    </w:p>
    <w:p w14:paraId="718C9ACD" w14:textId="4A740D9A" w:rsidR="005E7F07" w:rsidRDefault="00141616">
      <w:r>
        <w:t xml:space="preserve">With the Scottish Government </w:t>
      </w:r>
      <w:r w:rsidR="005E7F07">
        <w:t>P</w:t>
      </w:r>
      <w:r>
        <w:t xml:space="preserve">rogress </w:t>
      </w:r>
      <w:r w:rsidR="005E7F07">
        <w:t>R</w:t>
      </w:r>
      <w:r>
        <w:t xml:space="preserve">eports, </w:t>
      </w:r>
      <w:proofErr w:type="gramStart"/>
      <w:r>
        <w:t>a number of</w:t>
      </w:r>
      <w:proofErr w:type="gramEnd"/>
      <w:r>
        <w:t xml:space="preserve"> tables are provided. </w:t>
      </w:r>
    </w:p>
    <w:p w14:paraId="17380175" w14:textId="1AB5740A" w:rsidR="00141616" w:rsidRDefault="00141616">
      <w:r>
        <w:t xml:space="preserve">The two of most interest to our analysis </w:t>
      </w:r>
      <w:r w:rsidR="009A7B2B">
        <w:t>is</w:t>
      </w:r>
      <w:r>
        <w:t xml:space="preserve">: </w:t>
      </w:r>
    </w:p>
    <w:p w14:paraId="6A5D0434" w14:textId="04FBE974" w:rsidR="00C549A3" w:rsidRDefault="00141616" w:rsidP="00C549A3">
      <w:pPr>
        <w:pStyle w:val="ListParagraph"/>
        <w:numPr>
          <w:ilvl w:val="0"/>
          <w:numId w:val="1"/>
        </w:numPr>
      </w:pPr>
      <w:r>
        <w:t xml:space="preserve">A table </w:t>
      </w:r>
      <w:r w:rsidR="00972B27">
        <w:t xml:space="preserve">of actions </w:t>
      </w:r>
      <w:r>
        <w:t>which summarises the actions from delivery plans</w:t>
      </w:r>
      <w:r w:rsidR="00221559">
        <w:rPr>
          <w:rStyle w:val="FootnoteReference"/>
        </w:rPr>
        <w:footnoteReference w:id="2"/>
      </w:r>
      <w:r>
        <w:t xml:space="preserve"> that link directly to the drivers of </w:t>
      </w:r>
      <w:r w:rsidR="009A7B2B">
        <w:t>poverty and</w:t>
      </w:r>
      <w:r>
        <w:t xml:space="preserve"> provides an update on progress</w:t>
      </w:r>
      <w:r w:rsidR="00873053">
        <w:t xml:space="preserve">. </w:t>
      </w:r>
    </w:p>
    <w:p w14:paraId="0C72BC7D" w14:textId="40F23D89" w:rsidR="00C549A3" w:rsidRDefault="00C549A3" w:rsidP="00C549A3">
      <w:r>
        <w:t xml:space="preserve">To qualify as actions, they must have a direct link to one or more of the drivers of reducing child poverty </w:t>
      </w:r>
      <w:proofErr w:type="gramStart"/>
      <w:r w:rsidR="00730E46">
        <w:t>and</w:t>
      </w:r>
      <w:proofErr w:type="gramEnd"/>
      <w:r>
        <w:t xml:space="preserve"> hence meeting the targets. </w:t>
      </w:r>
    </w:p>
    <w:p w14:paraId="179FEDEF" w14:textId="173C17C0" w:rsidR="00F223AF" w:rsidRDefault="00141616" w:rsidP="00141616">
      <w:pPr>
        <w:pStyle w:val="ListParagraph"/>
        <w:numPr>
          <w:ilvl w:val="0"/>
          <w:numId w:val="1"/>
        </w:numPr>
      </w:pPr>
      <w:r>
        <w:t xml:space="preserve">A table </w:t>
      </w:r>
      <w:r w:rsidR="00236D89">
        <w:t xml:space="preserve">that provides an estimate of the amount of money spent </w:t>
      </w:r>
      <w:r w:rsidR="00873053">
        <w:t>(where available</w:t>
      </w:r>
      <w:r w:rsidR="00C2126D">
        <w:rPr>
          <w:rStyle w:val="FootnoteReference"/>
        </w:rPr>
        <w:footnoteReference w:id="3"/>
      </w:r>
      <w:r w:rsidR="00873053">
        <w:t xml:space="preserve">) </w:t>
      </w:r>
      <w:r w:rsidR="00236D89">
        <w:t>on children in poverty</w:t>
      </w:r>
      <w:r w:rsidR="00873053">
        <w:t>. S</w:t>
      </w:r>
      <w:r w:rsidR="00236D89">
        <w:t xml:space="preserve">ome but not all, overlap with </w:t>
      </w:r>
      <w:r w:rsidR="009D60DC">
        <w:t>delivery plan actions</w:t>
      </w:r>
      <w:r w:rsidR="00873053">
        <w:t xml:space="preserve">. </w:t>
      </w:r>
    </w:p>
    <w:p w14:paraId="33ED6D95" w14:textId="77777777" w:rsidR="005B2619" w:rsidRDefault="005B2619" w:rsidP="005B2619">
      <w:r>
        <w:t xml:space="preserve">This builds on building on a methodology that the Fraser of Allander Institute and the Joseph Rowntree Foundation produced following the 2019/20 Scottish Budget. The aim of the original FAI &amp; JRF analysis was to improve the transparency in reporting of the quantum of spending that has a link to child poverty in the budget for the year ahead. </w:t>
      </w:r>
    </w:p>
    <w:p w14:paraId="3046E964" w14:textId="0F0A864C" w:rsidR="009A4A74" w:rsidRDefault="009A4A74" w:rsidP="009A4A74">
      <w:r>
        <w:t xml:space="preserve">However, it is not an ideal method for monitoring spend on government actions towards meeting the statutory targets. Some of the spend relates to improving outcomes for children who are in poverty but with no direct link to the drivers of child poverty and hence the statutory targets. This includes spend within the education system focussed on reducing the attainment gap which won’t reduce poverty now but could reduce the impact of poverty on those children. </w:t>
      </w:r>
    </w:p>
    <w:p w14:paraId="33625D7D" w14:textId="4B775166" w:rsidR="009A4A74" w:rsidRDefault="009A4A74" w:rsidP="009A4A74">
      <w:r>
        <w:t xml:space="preserve">This new report aims to fill this evidence gap by providing an estimate of </w:t>
      </w:r>
      <w:r w:rsidRPr="00972B27">
        <w:rPr>
          <w:b/>
          <w:bCs/>
        </w:rPr>
        <w:t>money spent on actions to reduce child povert</w:t>
      </w:r>
      <w:r w:rsidR="00972B27" w:rsidRPr="00972B27">
        <w:rPr>
          <w:b/>
          <w:bCs/>
        </w:rPr>
        <w:t>y</w:t>
      </w:r>
      <w:r w:rsidR="00972B27">
        <w:rPr>
          <w:b/>
          <w:bCs/>
        </w:rPr>
        <w:t xml:space="preserve">. </w:t>
      </w:r>
      <w:r w:rsidR="00972B27">
        <w:t>This utilises the information in the table of actions</w:t>
      </w:r>
      <w:r w:rsidR="00B92F7E">
        <w:t xml:space="preserve">, locates information in money spent in </w:t>
      </w:r>
      <w:proofErr w:type="gramStart"/>
      <w:r w:rsidR="00B92F7E">
        <w:t>each and every</w:t>
      </w:r>
      <w:proofErr w:type="gramEnd"/>
      <w:r w:rsidR="00B92F7E">
        <w:t xml:space="preserve"> year since that delivery plan was published, and shows this in the context of the overall Scottish Government budget. </w:t>
      </w:r>
    </w:p>
    <w:p w14:paraId="5A1F1BE6" w14:textId="18DBF063" w:rsidR="00F61379" w:rsidRPr="00972B27" w:rsidRDefault="00F61379" w:rsidP="009A4A74">
      <w:r>
        <w:t xml:space="preserve">Our aim is to show the extent to which Scottish Government has prioritised resources to meet the statutory targets. </w:t>
      </w:r>
    </w:p>
    <w:p w14:paraId="0EE4972D" w14:textId="4FF9D9EA" w:rsidR="0026454B" w:rsidRDefault="00221559">
      <w:r>
        <w:t>S</w:t>
      </w:r>
      <w:r w:rsidR="0026454B">
        <w:t>ome of actions</w:t>
      </w:r>
      <w:r w:rsidR="006D1A51">
        <w:t xml:space="preserve"> in the delivery plans</w:t>
      </w:r>
      <w:r w:rsidR="0026454B">
        <w:t xml:space="preserve"> are not only targeted at child poverty. For example, early learning and childcare is a universal service so whilst it will help reduce the cost of living for parents in poverty and for some help maximise earnings from paid work, it would be wrong to attribute the whole cost of the public service to</w:t>
      </w:r>
      <w:r w:rsidR="00C73E17">
        <w:t xml:space="preserve">wards tackling poverty. </w:t>
      </w:r>
      <w:r w:rsidR="00E45ABF">
        <w:t>Similarly,</w:t>
      </w:r>
      <w:r w:rsidR="00E302C5">
        <w:t xml:space="preserve"> increases to the carer</w:t>
      </w:r>
      <w:r w:rsidR="00510ED0">
        <w:t xml:space="preserve">’s allowance in the first delivery plan </w:t>
      </w:r>
      <w:r w:rsidR="00FF08A8">
        <w:t xml:space="preserve">will benefit households with children in poverty where there is a carer, but not all households with a carer will have children, nor be in poverty. </w:t>
      </w:r>
    </w:p>
    <w:p w14:paraId="667BECBD" w14:textId="2F73BF16" w:rsidR="00021130" w:rsidRDefault="00C73E17">
      <w:r>
        <w:lastRenderedPageBreak/>
        <w:t xml:space="preserve">The Scottish Government, in their analysis of policies directed at children in poverty, exclude </w:t>
      </w:r>
      <w:r w:rsidR="00862174">
        <w:t xml:space="preserve">some policies, including </w:t>
      </w:r>
      <w:r>
        <w:t xml:space="preserve">early learning and childcare from their totals, as well as </w:t>
      </w:r>
      <w:proofErr w:type="gramStart"/>
      <w:r>
        <w:t>a number of</w:t>
      </w:r>
      <w:proofErr w:type="gramEnd"/>
      <w:r>
        <w:t xml:space="preserve"> other policies</w:t>
      </w:r>
      <w:r w:rsidR="00A521FB">
        <w:rPr>
          <w:rStyle w:val="FootnoteReference"/>
        </w:rPr>
        <w:footnoteReference w:id="4"/>
      </w:r>
      <w:r>
        <w:t xml:space="preserve">. </w:t>
      </w:r>
      <w:r w:rsidR="00021130">
        <w:t xml:space="preserve">Excluding these entirely </w:t>
      </w:r>
      <w:r w:rsidR="00836252">
        <w:t xml:space="preserve">feels like it will underestimate the </w:t>
      </w:r>
      <w:r w:rsidR="00E53CAE">
        <w:t>governments</w:t>
      </w:r>
      <w:r w:rsidR="00836252">
        <w:t xml:space="preserve"> spend.</w:t>
      </w:r>
    </w:p>
    <w:p w14:paraId="30556E00" w14:textId="7A51BD50" w:rsidR="00476EAA" w:rsidRDefault="00862174">
      <w:r>
        <w:t xml:space="preserve">However, </w:t>
      </w:r>
      <w:r w:rsidR="00021130">
        <w:t>they include others such as the uplift to Carer’s Allowance</w:t>
      </w:r>
      <w:r w:rsidR="00836252">
        <w:t xml:space="preserve"> which </w:t>
      </w:r>
      <w:r w:rsidR="005165DB">
        <w:t xml:space="preserve">although will help reduce poverty for some children, it is not targeted directly at doing so. Including these types of policies, where reducing child poverty is a </w:t>
      </w:r>
      <w:r w:rsidR="006738DC">
        <w:t xml:space="preserve">secondary consideration of the policy, will overestimate the amount of spend the government has put towards tackling child poverty. </w:t>
      </w:r>
      <w:r w:rsidR="00476EAA">
        <w:t>W</w:t>
      </w:r>
      <w:r w:rsidR="003D6AC6">
        <w:t xml:space="preserve">here </w:t>
      </w:r>
      <w:r w:rsidR="00476EAA">
        <w:t xml:space="preserve">possible, the Scottish Government have used </w:t>
      </w:r>
      <w:r w:rsidR="003D6AC6">
        <w:t>data available on service use to determine how many children in</w:t>
      </w:r>
      <w:r w:rsidR="004475C8">
        <w:t>, or at risk of,</w:t>
      </w:r>
      <w:r w:rsidR="003D6AC6">
        <w:t xml:space="preserve"> poverty are </w:t>
      </w:r>
      <w:r w:rsidR="004475C8">
        <w:t>beneficiaries</w:t>
      </w:r>
      <w:r w:rsidR="003D6AC6">
        <w:t xml:space="preserve"> of the spend</w:t>
      </w:r>
      <w:r w:rsidR="004475C8">
        <w:t>.</w:t>
      </w:r>
      <w:r w:rsidR="00476EAA">
        <w:t xml:space="preserve"> In the absence of this information, </w:t>
      </w:r>
      <w:r w:rsidR="00FE5B7B">
        <w:t xml:space="preserve">they use poverty statistics </w:t>
      </w:r>
      <w:r w:rsidR="00C73DFA">
        <w:t xml:space="preserve">to </w:t>
      </w:r>
      <w:r w:rsidR="00D248E8">
        <w:t xml:space="preserve">provide an estimate of the amount targeted at children. For example, for Carer’s Allowance, </w:t>
      </w:r>
      <w:r w:rsidR="00DF14A7">
        <w:t xml:space="preserve">the total spend in 2023/24 is reported as £359.10. </w:t>
      </w:r>
      <w:r w:rsidR="00523E8B">
        <w:t>The statistic of children in poverty was 22% fo</w:t>
      </w:r>
      <w:r w:rsidR="003F58A5">
        <w:t xml:space="preserve">r 2020-23, and this proportion is used to produce an estimate of the spend on children in </w:t>
      </w:r>
      <w:r w:rsidR="009A7B2B">
        <w:t>low-income</w:t>
      </w:r>
      <w:r w:rsidR="003F58A5">
        <w:t xml:space="preserve"> families (£79m). Whilst </w:t>
      </w:r>
      <w:r w:rsidR="00770C1F">
        <w:t xml:space="preserve">this estimate is perhaps more realistic (in that it </w:t>
      </w:r>
      <w:r w:rsidR="00386517">
        <w:t>doesn’t assume that all households who claim carer’s allowance have children</w:t>
      </w:r>
      <w:r w:rsidR="00770C1F">
        <w:t xml:space="preserve">) </w:t>
      </w:r>
      <w:r w:rsidR="006A34A8">
        <w:t xml:space="preserve">we can’t be confident that this is close to the correct </w:t>
      </w:r>
      <w:r w:rsidR="00306158">
        <w:t>amount.</w:t>
      </w:r>
      <w:r w:rsidR="003A5005">
        <w:t xml:space="preserve"> </w:t>
      </w:r>
    </w:p>
    <w:p w14:paraId="0F0D8CB2" w14:textId="3D2DAFC0" w:rsidR="00486BC6" w:rsidRDefault="006D1129">
      <w:r>
        <w:t xml:space="preserve">Our approach is to </w:t>
      </w:r>
      <w:r w:rsidR="004475C8">
        <w:t xml:space="preserve">produce a range estimate, with the </w:t>
      </w:r>
      <w:r w:rsidR="00035A18">
        <w:t>lowest</w:t>
      </w:r>
      <w:r w:rsidR="004475C8">
        <w:t xml:space="preserve"> end of the range limited only to policies </w:t>
      </w:r>
      <w:r w:rsidR="00035A18">
        <w:t>where the primary aim of the policy is to reduce child poverty</w:t>
      </w:r>
      <w:r>
        <w:t xml:space="preserve"> (or where we have verifiable information on the number of children who benefit from a service</w:t>
      </w:r>
      <w:r>
        <w:rPr>
          <w:rStyle w:val="FootnoteReference"/>
        </w:rPr>
        <w:footnoteReference w:id="5"/>
      </w:r>
      <w:r>
        <w:t xml:space="preserve">), </w:t>
      </w:r>
      <w:r w:rsidR="00035A18">
        <w:t>and</w:t>
      </w:r>
      <w:r w:rsidR="004806A7">
        <w:t xml:space="preserve"> the highest range of the spend including all policies that are listed in the delivery plan actions. </w:t>
      </w:r>
    </w:p>
    <w:p w14:paraId="1AD392F9" w14:textId="27856334" w:rsidR="00C73E17" w:rsidRDefault="00C73E17">
      <w:r>
        <w:t xml:space="preserve">There is also </w:t>
      </w:r>
      <w:proofErr w:type="gramStart"/>
      <w:r>
        <w:t>a number of</w:t>
      </w:r>
      <w:proofErr w:type="gramEnd"/>
      <w:r>
        <w:t xml:space="preserve"> policies that we could exclude on the basis that they were in existence before the child poverty statutory targets were put into legislation, and therefore it could be argued that they are less relevant to new efforts to meeting the targets. </w:t>
      </w:r>
      <w:r w:rsidR="00411ED0">
        <w:t>I</w:t>
      </w:r>
      <w:r w:rsidR="00786F2A">
        <w:t xml:space="preserve">t could however be argued that by continuing these policies, they are </w:t>
      </w:r>
      <w:proofErr w:type="gramStart"/>
      <w:r w:rsidR="00786F2A">
        <w:t>making a contribution</w:t>
      </w:r>
      <w:proofErr w:type="gramEnd"/>
      <w:r w:rsidR="00786F2A">
        <w:t xml:space="preserve"> to meeting the targets (i.e. in their absence, child poverty would be higher)</w:t>
      </w:r>
      <w:r w:rsidR="003D14DC">
        <w:t xml:space="preserve">. The one area where we have felt justified in limiting </w:t>
      </w:r>
      <w:r w:rsidR="00641783">
        <w:t>analysis</w:t>
      </w:r>
      <w:r w:rsidR="003D14DC">
        <w:t xml:space="preserve"> to ‘new spend’ is for social security spending related to devolved benefits, including cares and disability payments. The</w:t>
      </w:r>
      <w:r w:rsidR="00100FCF">
        <w:t xml:space="preserve"> devolution of these policies included a transfer of resources from the UK Government to the Scottish Government which, broadly, covers the cost of the policy if the Scottish Government provided the same </w:t>
      </w:r>
      <w:r w:rsidR="009835DA">
        <w:t xml:space="preserve">policy as the UK Government. The difference between Scottish Government spend, and the equivalent UK Government spend is </w:t>
      </w:r>
      <w:r w:rsidR="003A28F1">
        <w:t xml:space="preserve">can be calculated by </w:t>
      </w:r>
      <w:r w:rsidR="009C52AC">
        <w:t xml:space="preserve">looking at Scottish Government spend which exceeds the Block Grant Adjustment funding that comes from the Scottish Government on social security. </w:t>
      </w:r>
    </w:p>
    <w:p w14:paraId="17F0275E" w14:textId="15D8EF9D" w:rsidR="00425728" w:rsidRDefault="00425728">
      <w:r>
        <w:t xml:space="preserve">This can be thought of as UK Government funding for social security in Scotland. If we were to include this spend, it would be arguable that we should be including UK Government spend on other social security spend, such as Universal Credit. </w:t>
      </w:r>
    </w:p>
    <w:p w14:paraId="66DEB161" w14:textId="60C654A8" w:rsidR="0027493A" w:rsidRDefault="00425728">
      <w:r>
        <w:t xml:space="preserve">The approach we have taken here is not the same as the Scottish Government, who include the whole spend of </w:t>
      </w:r>
      <w:r w:rsidR="00BE7EC3">
        <w:t xml:space="preserve">Carer’s Allowance in their table of spend on children in poverty, not just the additional spend </w:t>
      </w:r>
      <w:r w:rsidR="003E4298">
        <w:t>put funded from elsewhere in the Scottish Budget</w:t>
      </w:r>
      <w:r w:rsidR="00054754">
        <w:t>, which relates to</w:t>
      </w:r>
      <w:r w:rsidR="003E4298">
        <w:t xml:space="preserve"> the Carer’s Allowance Supplement</w:t>
      </w:r>
      <w:r w:rsidR="00054754">
        <w:t xml:space="preserve">. </w:t>
      </w:r>
    </w:p>
    <w:p w14:paraId="6C616176" w14:textId="6D08655B" w:rsidR="00C82F3D" w:rsidRDefault="008B4BA5">
      <w:r>
        <w:br w:type="page"/>
      </w:r>
      <w:r w:rsidR="00C82F3D">
        <w:lastRenderedPageBreak/>
        <w:br w:type="page"/>
      </w:r>
    </w:p>
    <w:p w14:paraId="76253EE7" w14:textId="0E1223E0" w:rsidR="009829BF" w:rsidRPr="00B74B25" w:rsidRDefault="00C82F3D" w:rsidP="00413FFA">
      <w:pPr>
        <w:pStyle w:val="Heading2"/>
      </w:pPr>
      <w:bookmarkStart w:id="11" w:name="_Toc201763579"/>
      <w:r>
        <w:lastRenderedPageBreak/>
        <w:t>References</w:t>
      </w:r>
      <w:bookmarkEnd w:id="11"/>
    </w:p>
    <w:p w14:paraId="74C5C841" w14:textId="6AEA239B" w:rsidR="00E81CC5" w:rsidRPr="00E81CC5" w:rsidRDefault="00B64087" w:rsidP="00E81CC5">
      <w:pPr>
        <w:pStyle w:val="EndNoteBibliography"/>
        <w:spacing w:after="0"/>
      </w:pPr>
      <w:r>
        <w:fldChar w:fldCharType="begin"/>
      </w:r>
      <w:r>
        <w:instrText xml:space="preserve"> ADDIN EN.REFLIST </w:instrText>
      </w:r>
      <w:r>
        <w:fldChar w:fldCharType="separate"/>
      </w:r>
      <w:r w:rsidR="00E81CC5" w:rsidRPr="00E81CC5">
        <w:t>1.</w:t>
      </w:r>
      <w:r w:rsidR="00E81CC5" w:rsidRPr="00E81CC5">
        <w:tab/>
        <w:t xml:space="preserve">Government S. Every Child, Every Chance Tackling Child Poverty Delivery Plan (2018-2022) 2018 [Available from: </w:t>
      </w:r>
      <w:hyperlink r:id="rId21" w:history="1">
        <w:r w:rsidR="00E81CC5" w:rsidRPr="00E81CC5">
          <w:rPr>
            <w:rStyle w:val="Hyperlink"/>
          </w:rPr>
          <w:t>https://www.gov.scot/binaries/content/documents/govscot/publications/strategy-plan/2018/03/child-chance-tackling-child-poverty-delivery-plan-2018-22/documents/00533606-pdf/00533606-pdf/govscot%3Adocument/00533606.pdf</w:t>
        </w:r>
      </w:hyperlink>
      <w:r w:rsidR="00E81CC5" w:rsidRPr="00E81CC5">
        <w:t>.</w:t>
      </w:r>
    </w:p>
    <w:p w14:paraId="02333EDB" w14:textId="5AFAC829" w:rsidR="00E81CC5" w:rsidRPr="00E81CC5" w:rsidRDefault="00E81CC5" w:rsidP="00E81CC5">
      <w:pPr>
        <w:pStyle w:val="EndNoteBibliography"/>
        <w:spacing w:after="0"/>
      </w:pPr>
      <w:r w:rsidRPr="00E81CC5">
        <w:t>2.</w:t>
      </w:r>
      <w:r w:rsidRPr="00E81CC5">
        <w:tab/>
        <w:t xml:space="preserve">Government S. Best Start, Bright Futures Tackling Child Poverty Delivery Plan (2022-2026) 2022 [Available from: </w:t>
      </w:r>
      <w:hyperlink r:id="rId22" w:history="1">
        <w:r w:rsidRPr="00E81CC5">
          <w:rPr>
            <w:rStyle w:val="Hyperlink"/>
          </w:rPr>
          <w:t>https://www.gov.scot/binaries/content/documents/govscot/publications/strategy-plan/2022/03/best-start-bright-futures-tackling-child-poverty-delivery-plan-2022-26/documents/best-start-bright-futures-tackling-child-poverty-delivery-plan-2022-2026/best-start-bright-futures-tackling-child-poverty-delivery-plan-2022-2026/govscot%3Adocument/best-start-bright-futures-tackling-child-poverty-delivery-plan-2022-2026.pdf</w:t>
        </w:r>
      </w:hyperlink>
      <w:r w:rsidRPr="00E81CC5">
        <w:t>.</w:t>
      </w:r>
    </w:p>
    <w:p w14:paraId="6E4D3301" w14:textId="62BBC452" w:rsidR="00E81CC5" w:rsidRPr="00E81CC5" w:rsidRDefault="00E81CC5" w:rsidP="00E81CC5">
      <w:pPr>
        <w:pStyle w:val="EndNoteBibliography"/>
        <w:spacing w:after="0"/>
      </w:pPr>
      <w:r w:rsidRPr="00E81CC5">
        <w:t>3.</w:t>
      </w:r>
      <w:r w:rsidRPr="00E81CC5">
        <w:tab/>
        <w:t xml:space="preserve">Government S. Every Child Every Chance First Year Progress Report (2018-19) 2019 [Available from: </w:t>
      </w:r>
      <w:hyperlink r:id="rId23" w:history="1">
        <w:r w:rsidRPr="00E81CC5">
          <w:rPr>
            <w:rStyle w:val="Hyperlink"/>
          </w:rPr>
          <w:t>https://www.gov.scot/publications/tackling-child-poverty-delivery-plan-first-year-progress-report-2018-19/</w:t>
        </w:r>
      </w:hyperlink>
      <w:r w:rsidRPr="00E81CC5">
        <w:t>.</w:t>
      </w:r>
    </w:p>
    <w:p w14:paraId="060DE0D4" w14:textId="6C49EE81" w:rsidR="00E81CC5" w:rsidRPr="00E81CC5" w:rsidRDefault="00E81CC5" w:rsidP="00E81CC5">
      <w:pPr>
        <w:pStyle w:val="EndNoteBibliography"/>
        <w:spacing w:after="0"/>
      </w:pPr>
      <w:r w:rsidRPr="00E81CC5">
        <w:t>4.</w:t>
      </w:r>
      <w:r w:rsidRPr="00E81CC5">
        <w:tab/>
        <w:t xml:space="preserve">Government S. Every Child Every Chance Second Year Progress Report (2019-20) 2020 [Available from: </w:t>
      </w:r>
      <w:hyperlink r:id="rId24" w:history="1">
        <w:r w:rsidRPr="00E81CC5">
          <w:rPr>
            <w:rStyle w:val="Hyperlink"/>
          </w:rPr>
          <w:t>https://www.gov.scot/publications/tackling-child-poverty-delivery-plan-second-year-progress-report-2019-20/</w:t>
        </w:r>
      </w:hyperlink>
      <w:r w:rsidRPr="00E81CC5">
        <w:t>.</w:t>
      </w:r>
    </w:p>
    <w:p w14:paraId="31EC3C00" w14:textId="2EA96846" w:rsidR="00E81CC5" w:rsidRPr="00E81CC5" w:rsidRDefault="00E81CC5" w:rsidP="00E81CC5">
      <w:pPr>
        <w:pStyle w:val="EndNoteBibliography"/>
        <w:spacing w:after="0"/>
      </w:pPr>
      <w:r w:rsidRPr="00E81CC5">
        <w:t>5.</w:t>
      </w:r>
      <w:r w:rsidRPr="00E81CC5">
        <w:tab/>
        <w:t xml:space="preserve">Government S. Every Child Every Chance Third Year Progress Report (2020-21) 2021 [Available from: </w:t>
      </w:r>
      <w:hyperlink r:id="rId25" w:history="1">
        <w:r w:rsidRPr="00E81CC5">
          <w:rPr>
            <w:rStyle w:val="Hyperlink"/>
          </w:rPr>
          <w:t>https://www.gov.scot/publications/tackling-child-poverty-third-year-progress-report-2020-2021/</w:t>
        </w:r>
      </w:hyperlink>
      <w:r w:rsidRPr="00E81CC5">
        <w:t>.</w:t>
      </w:r>
    </w:p>
    <w:p w14:paraId="0DCA1056" w14:textId="12B25AD8" w:rsidR="00E81CC5" w:rsidRPr="00E81CC5" w:rsidRDefault="00E81CC5" w:rsidP="00E81CC5">
      <w:pPr>
        <w:pStyle w:val="EndNoteBibliography"/>
        <w:spacing w:after="0"/>
      </w:pPr>
      <w:r w:rsidRPr="00E81CC5">
        <w:t>6.</w:t>
      </w:r>
      <w:r w:rsidRPr="00E81CC5">
        <w:tab/>
        <w:t xml:space="preserve">Government S. Every Child Every Chance Fourth Year Progress Report (2021-22) 2022 [Available from: </w:t>
      </w:r>
      <w:hyperlink r:id="rId26" w:history="1">
        <w:r w:rsidRPr="00E81CC5">
          <w:rPr>
            <w:rStyle w:val="Hyperlink"/>
          </w:rPr>
          <w:t>https://www.gov.scot/publications/tackling-child-poverty-delivery-plan-fourth-year-progress-report-2021-22/</w:t>
        </w:r>
      </w:hyperlink>
      <w:r w:rsidRPr="00E81CC5">
        <w:t>.</w:t>
      </w:r>
    </w:p>
    <w:p w14:paraId="16A85B96" w14:textId="4872ECD5" w:rsidR="00E81CC5" w:rsidRPr="00E81CC5" w:rsidRDefault="00E81CC5" w:rsidP="00E81CC5">
      <w:pPr>
        <w:pStyle w:val="EndNoteBibliography"/>
        <w:spacing w:after="0"/>
      </w:pPr>
      <w:r w:rsidRPr="00E81CC5">
        <w:t>7.</w:t>
      </w:r>
      <w:r w:rsidRPr="00E81CC5">
        <w:tab/>
        <w:t xml:space="preserve">Government S. Best Start, Bright Futures First Year Progress Report (2022-23) 2023 [Available from: </w:t>
      </w:r>
      <w:hyperlink r:id="rId27" w:history="1">
        <w:r w:rsidRPr="00E81CC5">
          <w:rPr>
            <w:rStyle w:val="Hyperlink"/>
          </w:rPr>
          <w:t>https://www.gov.scot/publications/tackling-child-poverty-delivery-plan-annual-progress-report-2022-2023/</w:t>
        </w:r>
      </w:hyperlink>
      <w:r w:rsidRPr="00E81CC5">
        <w:t>.</w:t>
      </w:r>
    </w:p>
    <w:p w14:paraId="05052FBC" w14:textId="4FD70AD5" w:rsidR="00E81CC5" w:rsidRPr="00E81CC5" w:rsidRDefault="00E81CC5" w:rsidP="00E81CC5">
      <w:pPr>
        <w:pStyle w:val="EndNoteBibliography"/>
        <w:spacing w:after="0"/>
      </w:pPr>
      <w:r w:rsidRPr="00E81CC5">
        <w:t>8.</w:t>
      </w:r>
      <w:r w:rsidRPr="00E81CC5">
        <w:tab/>
        <w:t xml:space="preserve">Government S. Best Start, Bright Futures Second Year Progress Report (2023-24) 2024 [Available from: </w:t>
      </w:r>
      <w:hyperlink r:id="rId28" w:history="1">
        <w:r w:rsidRPr="00E81CC5">
          <w:rPr>
            <w:rStyle w:val="Hyperlink"/>
          </w:rPr>
          <w:t>https://www.gov.scot/publications/best-start-bright-futures-tackling-child-poverty-progress-report-2023-24/</w:t>
        </w:r>
      </w:hyperlink>
      <w:r w:rsidRPr="00E81CC5">
        <w:t>.</w:t>
      </w:r>
    </w:p>
    <w:p w14:paraId="5F4FCE32" w14:textId="7669745D" w:rsidR="00E81CC5" w:rsidRPr="00E81CC5" w:rsidRDefault="00E81CC5" w:rsidP="00E81CC5">
      <w:pPr>
        <w:pStyle w:val="EndNoteBibliography"/>
        <w:spacing w:after="0"/>
      </w:pPr>
      <w:r w:rsidRPr="00E81CC5">
        <w:t>9.</w:t>
      </w:r>
      <w:r w:rsidRPr="00E81CC5">
        <w:tab/>
        <w:t xml:space="preserve">Government S. Employability support funding in Scotland: FOI Release 2024 [Available from: </w:t>
      </w:r>
      <w:hyperlink r:id="rId29" w:history="1">
        <w:r w:rsidRPr="00E81CC5">
          <w:rPr>
            <w:rStyle w:val="Hyperlink"/>
          </w:rPr>
          <w:t>https://www.gov.scot/publications/foi-202400423267/</w:t>
        </w:r>
      </w:hyperlink>
      <w:r w:rsidRPr="00E81CC5">
        <w:t>.</w:t>
      </w:r>
    </w:p>
    <w:p w14:paraId="3EC14487" w14:textId="0D67AFD7" w:rsidR="00E81CC5" w:rsidRPr="00E81CC5" w:rsidRDefault="00E81CC5" w:rsidP="00E81CC5">
      <w:pPr>
        <w:pStyle w:val="EndNoteBibliography"/>
        <w:spacing w:after="0"/>
      </w:pPr>
      <w:r w:rsidRPr="00E81CC5">
        <w:t>10.</w:t>
      </w:r>
      <w:r w:rsidRPr="00E81CC5">
        <w:tab/>
      </w:r>
      <w:r w:rsidR="003430B9" w:rsidRPr="003430B9">
        <w:rPr>
          <w:lang w:val="en-GB"/>
        </w:rPr>
        <w:t>Education Children and Young People Committee</w:t>
      </w:r>
      <w:r w:rsidRPr="00E81CC5">
        <w:t>. Pre-Budget Scrutiny 2025 to 2026. 2024.</w:t>
      </w:r>
    </w:p>
    <w:p w14:paraId="104B55B5" w14:textId="09FF3932" w:rsidR="00E81CC5" w:rsidRPr="00E81CC5" w:rsidRDefault="00E81CC5" w:rsidP="00E81CC5">
      <w:pPr>
        <w:pStyle w:val="EndNoteBibliography"/>
      </w:pPr>
      <w:r w:rsidRPr="00E81CC5">
        <w:t>11.</w:t>
      </w:r>
      <w:r w:rsidRPr="00E81CC5">
        <w:tab/>
      </w:r>
      <w:r w:rsidR="003B01AA">
        <w:t>Shetland Local Employability Partnership</w:t>
      </w:r>
      <w:r w:rsidRPr="00E81CC5">
        <w:t>. Annual Investment Plan 2024-25. 2023.</w:t>
      </w:r>
    </w:p>
    <w:p w14:paraId="36B2432B" w14:textId="176ECA15" w:rsidR="004E55B4" w:rsidRDefault="00B64087">
      <w:r>
        <w:fldChar w:fldCharType="end"/>
      </w:r>
    </w:p>
    <w:p w14:paraId="1B06CA12" w14:textId="4F801898" w:rsidR="000A27B8" w:rsidRDefault="004E55B4">
      <w:r>
        <w:br w:type="page"/>
      </w:r>
    </w:p>
    <w:sectPr w:rsidR="000A27B8" w:rsidSect="007B63A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71D38" w14:textId="77777777" w:rsidR="00D330FF" w:rsidRDefault="00D330FF" w:rsidP="00A521FB">
      <w:pPr>
        <w:spacing w:after="0" w:line="240" w:lineRule="auto"/>
      </w:pPr>
      <w:r>
        <w:separator/>
      </w:r>
    </w:p>
  </w:endnote>
  <w:endnote w:type="continuationSeparator" w:id="0">
    <w:p w14:paraId="3F716F31" w14:textId="77777777" w:rsidR="00D330FF" w:rsidRDefault="00D330FF" w:rsidP="00A521FB">
      <w:pPr>
        <w:spacing w:after="0" w:line="240" w:lineRule="auto"/>
      </w:pPr>
      <w:r>
        <w:continuationSeparator/>
      </w:r>
    </w:p>
  </w:endnote>
  <w:endnote w:type="continuationNotice" w:id="1">
    <w:p w14:paraId="4F5749AC" w14:textId="77777777" w:rsidR="00D330FF" w:rsidRDefault="00D330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roxima Nova">
    <w:altName w:val="Tahoma"/>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A93D2" w14:textId="77777777" w:rsidR="00D330FF" w:rsidRDefault="00D330FF" w:rsidP="00A521FB">
      <w:pPr>
        <w:spacing w:after="0" w:line="240" w:lineRule="auto"/>
      </w:pPr>
      <w:r>
        <w:separator/>
      </w:r>
    </w:p>
  </w:footnote>
  <w:footnote w:type="continuationSeparator" w:id="0">
    <w:p w14:paraId="5CC3D56D" w14:textId="77777777" w:rsidR="00D330FF" w:rsidRDefault="00D330FF" w:rsidP="00A521FB">
      <w:pPr>
        <w:spacing w:after="0" w:line="240" w:lineRule="auto"/>
      </w:pPr>
      <w:r>
        <w:continuationSeparator/>
      </w:r>
    </w:p>
  </w:footnote>
  <w:footnote w:type="continuationNotice" w:id="1">
    <w:p w14:paraId="20727651" w14:textId="77777777" w:rsidR="00D330FF" w:rsidRDefault="00D330FF">
      <w:pPr>
        <w:spacing w:after="0" w:line="240" w:lineRule="auto"/>
      </w:pPr>
    </w:p>
  </w:footnote>
  <w:footnote w:id="2">
    <w:p w14:paraId="23353E11" w14:textId="50115095" w:rsidR="00221559" w:rsidRDefault="00221559">
      <w:pPr>
        <w:pStyle w:val="FootnoteText"/>
      </w:pPr>
      <w:r>
        <w:rPr>
          <w:rStyle w:val="FootnoteReference"/>
        </w:rPr>
        <w:footnoteRef/>
      </w:r>
      <w:r>
        <w:t xml:space="preserve"> There are a small number of policies that are mentioned for the first time in </w:t>
      </w:r>
      <w:r w:rsidR="00E45ABF">
        <w:t xml:space="preserve">Progress Reports. We have included these actions. </w:t>
      </w:r>
    </w:p>
  </w:footnote>
  <w:footnote w:id="3">
    <w:p w14:paraId="7767D6EC" w14:textId="186C8626" w:rsidR="00C2126D" w:rsidRPr="00265558" w:rsidRDefault="00C2126D">
      <w:pPr>
        <w:pStyle w:val="FootnoteText"/>
        <w:rPr>
          <w:sz w:val="32"/>
          <w:szCs w:val="32"/>
        </w:rPr>
      </w:pPr>
      <w:r w:rsidRPr="00265558">
        <w:rPr>
          <w:rStyle w:val="FootnoteReference"/>
          <w:sz w:val="32"/>
          <w:szCs w:val="32"/>
        </w:rPr>
        <w:footnoteRef/>
      </w:r>
      <w:r w:rsidRPr="00265558">
        <w:rPr>
          <w:sz w:val="32"/>
          <w:szCs w:val="32"/>
        </w:rPr>
        <w:t xml:space="preserve"> </w:t>
      </w:r>
      <w:r w:rsidRPr="00265558">
        <w:rPr>
          <w:sz w:val="32"/>
          <w:szCs w:val="32"/>
          <w:vertAlign w:val="superscript"/>
        </w:rPr>
        <w:t>According to the Scottish Government, “They comprise a mixture of outturn, budgeted, and forecasted</w:t>
      </w:r>
      <w:r w:rsidR="00265558">
        <w:rPr>
          <w:sz w:val="32"/>
          <w:szCs w:val="32"/>
          <w:vertAlign w:val="superscript"/>
        </w:rPr>
        <w:t xml:space="preserve"> f</w:t>
      </w:r>
      <w:r w:rsidRPr="00265558">
        <w:rPr>
          <w:sz w:val="32"/>
          <w:szCs w:val="32"/>
          <w:vertAlign w:val="superscript"/>
        </w:rPr>
        <w:t>igures, depending on what was available at the time.”</w:t>
      </w:r>
    </w:p>
  </w:footnote>
  <w:footnote w:id="4">
    <w:p w14:paraId="236C7FCC" w14:textId="26DD0678" w:rsidR="00A521FB" w:rsidRDefault="00A521FB" w:rsidP="00A521FB">
      <w:pPr>
        <w:pStyle w:val="FootnoteText"/>
      </w:pPr>
      <w:r>
        <w:rPr>
          <w:rStyle w:val="FootnoteReference"/>
        </w:rPr>
        <w:footnoteRef/>
      </w:r>
      <w:r>
        <w:t xml:space="preserve"> </w:t>
      </w:r>
      <w:r w:rsidRPr="00A521FB">
        <w:rPr>
          <w:sz w:val="14"/>
          <w:szCs w:val="14"/>
        </w:rPr>
        <w:t>According to the Scottish Government “these estimates do not include spend on universal services</w:t>
      </w:r>
      <w:r>
        <w:rPr>
          <w:sz w:val="14"/>
          <w:szCs w:val="14"/>
        </w:rPr>
        <w:t xml:space="preserve"> </w:t>
      </w:r>
      <w:r w:rsidRPr="00A521FB">
        <w:rPr>
          <w:sz w:val="14"/>
          <w:szCs w:val="14"/>
        </w:rPr>
        <w:t>from which children in poverty will also benefit, including services focused specifically on children such as funded Early Learning and Childcare and universal Free School Meal provision in primary schools, or wider support including free prescriptions, healthcare or free tuition. Disability benefits have also been excluded from the calculations, these are non-means tested and their purpose is to provide support to help with the additional costs associated with having a disability or long term health condition.</w:t>
      </w:r>
    </w:p>
  </w:footnote>
  <w:footnote w:id="5">
    <w:p w14:paraId="1CBC2EC5" w14:textId="6AC273EF" w:rsidR="006D1129" w:rsidRDefault="006D1129">
      <w:pPr>
        <w:pStyle w:val="FootnoteText"/>
      </w:pPr>
      <w:r>
        <w:rPr>
          <w:rStyle w:val="FootnoteReference"/>
        </w:rPr>
        <w:footnoteRef/>
      </w:r>
      <w:r>
        <w:t xml:space="preserve"> For example, from official administrative data or from robust data collected as part of monitoring and evaluation.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4F8"/>
    <w:multiLevelType w:val="multilevel"/>
    <w:tmpl w:val="2A545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82CB6"/>
    <w:multiLevelType w:val="hybridMultilevel"/>
    <w:tmpl w:val="ACB8BC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E93010"/>
    <w:multiLevelType w:val="multilevel"/>
    <w:tmpl w:val="2F705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F9302B"/>
    <w:multiLevelType w:val="multilevel"/>
    <w:tmpl w:val="3A56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2E1C60"/>
    <w:multiLevelType w:val="hybridMultilevel"/>
    <w:tmpl w:val="A46AE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BD5836"/>
    <w:multiLevelType w:val="hybridMultilevel"/>
    <w:tmpl w:val="38406D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07CBA"/>
    <w:multiLevelType w:val="hybridMultilevel"/>
    <w:tmpl w:val="F6745C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5331AC"/>
    <w:multiLevelType w:val="hybridMultilevel"/>
    <w:tmpl w:val="7E5CF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DF162E"/>
    <w:multiLevelType w:val="multilevel"/>
    <w:tmpl w:val="281E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095705"/>
    <w:multiLevelType w:val="multilevel"/>
    <w:tmpl w:val="43547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A8725D"/>
    <w:multiLevelType w:val="multilevel"/>
    <w:tmpl w:val="66680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CE2947"/>
    <w:multiLevelType w:val="multilevel"/>
    <w:tmpl w:val="932804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EB37E5"/>
    <w:multiLevelType w:val="multilevel"/>
    <w:tmpl w:val="075A7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457092"/>
    <w:multiLevelType w:val="hybridMultilevel"/>
    <w:tmpl w:val="2F8209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F7213F3"/>
    <w:multiLevelType w:val="multilevel"/>
    <w:tmpl w:val="1D140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5352491">
    <w:abstractNumId w:val="4"/>
  </w:num>
  <w:num w:numId="2" w16cid:durableId="458956215">
    <w:abstractNumId w:val="7"/>
  </w:num>
  <w:num w:numId="3" w16cid:durableId="1346978493">
    <w:abstractNumId w:val="13"/>
  </w:num>
  <w:num w:numId="4" w16cid:durableId="624888153">
    <w:abstractNumId w:val="1"/>
  </w:num>
  <w:num w:numId="5" w16cid:durableId="1169489973">
    <w:abstractNumId w:val="0"/>
  </w:num>
  <w:num w:numId="6" w16cid:durableId="1277761563">
    <w:abstractNumId w:val="3"/>
  </w:num>
  <w:num w:numId="7" w16cid:durableId="514609498">
    <w:abstractNumId w:val="6"/>
  </w:num>
  <w:num w:numId="8" w16cid:durableId="628902349">
    <w:abstractNumId w:val="2"/>
  </w:num>
  <w:num w:numId="9" w16cid:durableId="191385990">
    <w:abstractNumId w:val="12"/>
  </w:num>
  <w:num w:numId="10" w16cid:durableId="690956829">
    <w:abstractNumId w:val="8"/>
  </w:num>
  <w:num w:numId="11" w16cid:durableId="776752428">
    <w:abstractNumId w:val="10"/>
  </w:num>
  <w:num w:numId="12" w16cid:durableId="1573126255">
    <w:abstractNumId w:val="9"/>
  </w:num>
  <w:num w:numId="13" w16cid:durableId="1399404046">
    <w:abstractNumId w:val="11"/>
  </w:num>
  <w:num w:numId="14" w16cid:durableId="2029675325">
    <w:abstractNumId w:val="14"/>
  </w:num>
  <w:num w:numId="15" w16cid:durableId="941256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wx2fs9t4eep51e9ewcxfs9msx0rxwf9dsv2&quot;&gt;My EndNote Library&lt;record-ids&gt;&lt;item&gt;186&lt;/item&gt;&lt;item&gt;187&lt;/item&gt;&lt;item&gt;188&lt;/item&gt;&lt;item&gt;189&lt;/item&gt;&lt;item&gt;190&lt;/item&gt;&lt;item&gt;191&lt;/item&gt;&lt;item&gt;192&lt;/item&gt;&lt;item&gt;193&lt;/item&gt;&lt;item&gt;194&lt;/item&gt;&lt;item&gt;195&lt;/item&gt;&lt;item&gt;196&lt;/item&gt;&lt;/record-ids&gt;&lt;/item&gt;&lt;/Libraries&gt;"/>
  </w:docVars>
  <w:rsids>
    <w:rsidRoot w:val="00B6338A"/>
    <w:rsid w:val="00001648"/>
    <w:rsid w:val="00001B25"/>
    <w:rsid w:val="000025F3"/>
    <w:rsid w:val="00007912"/>
    <w:rsid w:val="000114BF"/>
    <w:rsid w:val="00012E3F"/>
    <w:rsid w:val="00012FDB"/>
    <w:rsid w:val="00014023"/>
    <w:rsid w:val="00015CDA"/>
    <w:rsid w:val="00017CCD"/>
    <w:rsid w:val="00020048"/>
    <w:rsid w:val="00021130"/>
    <w:rsid w:val="0002272B"/>
    <w:rsid w:val="00023261"/>
    <w:rsid w:val="00023C8E"/>
    <w:rsid w:val="000257BA"/>
    <w:rsid w:val="00027013"/>
    <w:rsid w:val="00027C48"/>
    <w:rsid w:val="000306E5"/>
    <w:rsid w:val="00035A18"/>
    <w:rsid w:val="00041606"/>
    <w:rsid w:val="00043DAD"/>
    <w:rsid w:val="00046CFC"/>
    <w:rsid w:val="000513BF"/>
    <w:rsid w:val="00051F53"/>
    <w:rsid w:val="00052335"/>
    <w:rsid w:val="000527C8"/>
    <w:rsid w:val="00054754"/>
    <w:rsid w:val="00056AC4"/>
    <w:rsid w:val="00057F55"/>
    <w:rsid w:val="00061BA9"/>
    <w:rsid w:val="000629FD"/>
    <w:rsid w:val="00064736"/>
    <w:rsid w:val="00064B6A"/>
    <w:rsid w:val="0007021E"/>
    <w:rsid w:val="000705C5"/>
    <w:rsid w:val="000717AD"/>
    <w:rsid w:val="0007536B"/>
    <w:rsid w:val="000775C2"/>
    <w:rsid w:val="00077DF7"/>
    <w:rsid w:val="00090209"/>
    <w:rsid w:val="00091A41"/>
    <w:rsid w:val="00092830"/>
    <w:rsid w:val="00094B4C"/>
    <w:rsid w:val="000957EB"/>
    <w:rsid w:val="00096373"/>
    <w:rsid w:val="000A05F5"/>
    <w:rsid w:val="000A07CB"/>
    <w:rsid w:val="000A0CA2"/>
    <w:rsid w:val="000A0D32"/>
    <w:rsid w:val="000A15B6"/>
    <w:rsid w:val="000A1D1A"/>
    <w:rsid w:val="000A27B8"/>
    <w:rsid w:val="000A29C8"/>
    <w:rsid w:val="000A2F68"/>
    <w:rsid w:val="000A359A"/>
    <w:rsid w:val="000A3F13"/>
    <w:rsid w:val="000B17AF"/>
    <w:rsid w:val="000B1DD9"/>
    <w:rsid w:val="000B754E"/>
    <w:rsid w:val="000B7F81"/>
    <w:rsid w:val="000C197B"/>
    <w:rsid w:val="000C2262"/>
    <w:rsid w:val="000C75A2"/>
    <w:rsid w:val="000D4663"/>
    <w:rsid w:val="000D572D"/>
    <w:rsid w:val="000D79A8"/>
    <w:rsid w:val="000E0475"/>
    <w:rsid w:val="000E0982"/>
    <w:rsid w:val="000E130F"/>
    <w:rsid w:val="000E2613"/>
    <w:rsid w:val="000E2757"/>
    <w:rsid w:val="000E7705"/>
    <w:rsid w:val="000F03C7"/>
    <w:rsid w:val="000F4838"/>
    <w:rsid w:val="000F5CEF"/>
    <w:rsid w:val="00100CDD"/>
    <w:rsid w:val="00100FCF"/>
    <w:rsid w:val="00102B88"/>
    <w:rsid w:val="0010470D"/>
    <w:rsid w:val="00106AA0"/>
    <w:rsid w:val="00106C53"/>
    <w:rsid w:val="00110A19"/>
    <w:rsid w:val="00112104"/>
    <w:rsid w:val="0011228B"/>
    <w:rsid w:val="00112F89"/>
    <w:rsid w:val="001132AB"/>
    <w:rsid w:val="00113AF1"/>
    <w:rsid w:val="00114255"/>
    <w:rsid w:val="00117A14"/>
    <w:rsid w:val="00120274"/>
    <w:rsid w:val="001205DD"/>
    <w:rsid w:val="00125B92"/>
    <w:rsid w:val="00127B5B"/>
    <w:rsid w:val="001300B0"/>
    <w:rsid w:val="00133DE5"/>
    <w:rsid w:val="0013459F"/>
    <w:rsid w:val="00136494"/>
    <w:rsid w:val="00137445"/>
    <w:rsid w:val="00141616"/>
    <w:rsid w:val="00141BB0"/>
    <w:rsid w:val="00142E50"/>
    <w:rsid w:val="001433AA"/>
    <w:rsid w:val="00145782"/>
    <w:rsid w:val="00145E72"/>
    <w:rsid w:val="00146AF6"/>
    <w:rsid w:val="001524BE"/>
    <w:rsid w:val="001530B2"/>
    <w:rsid w:val="0015456A"/>
    <w:rsid w:val="00154CD9"/>
    <w:rsid w:val="00155527"/>
    <w:rsid w:val="00155B28"/>
    <w:rsid w:val="00156CD0"/>
    <w:rsid w:val="00157A7A"/>
    <w:rsid w:val="00157FC8"/>
    <w:rsid w:val="00160B4D"/>
    <w:rsid w:val="00171598"/>
    <w:rsid w:val="001717FE"/>
    <w:rsid w:val="00172BFD"/>
    <w:rsid w:val="00172C4B"/>
    <w:rsid w:val="001731F5"/>
    <w:rsid w:val="00173CE9"/>
    <w:rsid w:val="00174618"/>
    <w:rsid w:val="0017465F"/>
    <w:rsid w:val="001749B9"/>
    <w:rsid w:val="00176D60"/>
    <w:rsid w:val="0018186D"/>
    <w:rsid w:val="00182236"/>
    <w:rsid w:val="001834AB"/>
    <w:rsid w:val="00183C59"/>
    <w:rsid w:val="00183E31"/>
    <w:rsid w:val="001858AF"/>
    <w:rsid w:val="0019202E"/>
    <w:rsid w:val="00193268"/>
    <w:rsid w:val="00194246"/>
    <w:rsid w:val="001948C9"/>
    <w:rsid w:val="0019537A"/>
    <w:rsid w:val="00197B27"/>
    <w:rsid w:val="001A0430"/>
    <w:rsid w:val="001A0850"/>
    <w:rsid w:val="001A3B25"/>
    <w:rsid w:val="001A5321"/>
    <w:rsid w:val="001B042F"/>
    <w:rsid w:val="001B1045"/>
    <w:rsid w:val="001B4B17"/>
    <w:rsid w:val="001B6D89"/>
    <w:rsid w:val="001B73AA"/>
    <w:rsid w:val="001C11FA"/>
    <w:rsid w:val="001C1CA3"/>
    <w:rsid w:val="001C5F68"/>
    <w:rsid w:val="001C6067"/>
    <w:rsid w:val="001C73E7"/>
    <w:rsid w:val="001D1510"/>
    <w:rsid w:val="001D1CEC"/>
    <w:rsid w:val="001D2FE0"/>
    <w:rsid w:val="001D3E0D"/>
    <w:rsid w:val="001D55AA"/>
    <w:rsid w:val="001E11DF"/>
    <w:rsid w:val="001E1963"/>
    <w:rsid w:val="001E2617"/>
    <w:rsid w:val="001E3563"/>
    <w:rsid w:val="001E7D32"/>
    <w:rsid w:val="001E7F1E"/>
    <w:rsid w:val="001F0058"/>
    <w:rsid w:val="001F0E31"/>
    <w:rsid w:val="001F344C"/>
    <w:rsid w:val="001F3E58"/>
    <w:rsid w:val="001F7E52"/>
    <w:rsid w:val="00202754"/>
    <w:rsid w:val="0020543C"/>
    <w:rsid w:val="00210570"/>
    <w:rsid w:val="00211C80"/>
    <w:rsid w:val="00212FB3"/>
    <w:rsid w:val="00213239"/>
    <w:rsid w:val="00213FE3"/>
    <w:rsid w:val="002148D1"/>
    <w:rsid w:val="00215EBF"/>
    <w:rsid w:val="00217385"/>
    <w:rsid w:val="002206C8"/>
    <w:rsid w:val="002206E6"/>
    <w:rsid w:val="00221559"/>
    <w:rsid w:val="002217A3"/>
    <w:rsid w:val="00223DDD"/>
    <w:rsid w:val="00223F14"/>
    <w:rsid w:val="0022520B"/>
    <w:rsid w:val="00225766"/>
    <w:rsid w:val="00226655"/>
    <w:rsid w:val="002268E0"/>
    <w:rsid w:val="00233173"/>
    <w:rsid w:val="00235703"/>
    <w:rsid w:val="00236D89"/>
    <w:rsid w:val="00242FD7"/>
    <w:rsid w:val="002558B5"/>
    <w:rsid w:val="00255FB3"/>
    <w:rsid w:val="002561ED"/>
    <w:rsid w:val="00260BB9"/>
    <w:rsid w:val="00261FFF"/>
    <w:rsid w:val="00263E92"/>
    <w:rsid w:val="0026454B"/>
    <w:rsid w:val="00265558"/>
    <w:rsid w:val="0026593B"/>
    <w:rsid w:val="002679FB"/>
    <w:rsid w:val="00270C00"/>
    <w:rsid w:val="00271FC4"/>
    <w:rsid w:val="0027493A"/>
    <w:rsid w:val="00276340"/>
    <w:rsid w:val="00281A71"/>
    <w:rsid w:val="002826E5"/>
    <w:rsid w:val="00283242"/>
    <w:rsid w:val="00283F33"/>
    <w:rsid w:val="00284B85"/>
    <w:rsid w:val="0028567E"/>
    <w:rsid w:val="00286FBE"/>
    <w:rsid w:val="002901A2"/>
    <w:rsid w:val="002927A7"/>
    <w:rsid w:val="00292B22"/>
    <w:rsid w:val="00293DCF"/>
    <w:rsid w:val="00295C74"/>
    <w:rsid w:val="002969CC"/>
    <w:rsid w:val="00297298"/>
    <w:rsid w:val="002A1F02"/>
    <w:rsid w:val="002A3E40"/>
    <w:rsid w:val="002A3F2E"/>
    <w:rsid w:val="002A4BAD"/>
    <w:rsid w:val="002A66A0"/>
    <w:rsid w:val="002A70AA"/>
    <w:rsid w:val="002A7AF9"/>
    <w:rsid w:val="002B4AFB"/>
    <w:rsid w:val="002B6959"/>
    <w:rsid w:val="002C0334"/>
    <w:rsid w:val="002C35FD"/>
    <w:rsid w:val="002C6200"/>
    <w:rsid w:val="002D0EC6"/>
    <w:rsid w:val="002D2E4B"/>
    <w:rsid w:val="002D3534"/>
    <w:rsid w:val="002D5695"/>
    <w:rsid w:val="002D69D1"/>
    <w:rsid w:val="002D78EE"/>
    <w:rsid w:val="002D7A73"/>
    <w:rsid w:val="002E41C6"/>
    <w:rsid w:val="002E664D"/>
    <w:rsid w:val="002F0592"/>
    <w:rsid w:val="002F06C4"/>
    <w:rsid w:val="002F06FC"/>
    <w:rsid w:val="002F100F"/>
    <w:rsid w:val="002F40C2"/>
    <w:rsid w:val="002F440B"/>
    <w:rsid w:val="002F5B67"/>
    <w:rsid w:val="002F7C70"/>
    <w:rsid w:val="00300208"/>
    <w:rsid w:val="00301EF9"/>
    <w:rsid w:val="003032BA"/>
    <w:rsid w:val="0030473F"/>
    <w:rsid w:val="00306158"/>
    <w:rsid w:val="00306ECB"/>
    <w:rsid w:val="00310759"/>
    <w:rsid w:val="00314EA9"/>
    <w:rsid w:val="0031568A"/>
    <w:rsid w:val="0032028E"/>
    <w:rsid w:val="003202E9"/>
    <w:rsid w:val="00321F8A"/>
    <w:rsid w:val="0032216C"/>
    <w:rsid w:val="00322855"/>
    <w:rsid w:val="00323ACC"/>
    <w:rsid w:val="00324E9A"/>
    <w:rsid w:val="00327241"/>
    <w:rsid w:val="00335EB8"/>
    <w:rsid w:val="003400F2"/>
    <w:rsid w:val="003430B9"/>
    <w:rsid w:val="00346A4D"/>
    <w:rsid w:val="00346F11"/>
    <w:rsid w:val="00353979"/>
    <w:rsid w:val="0035506E"/>
    <w:rsid w:val="00356566"/>
    <w:rsid w:val="0036174F"/>
    <w:rsid w:val="00362C3B"/>
    <w:rsid w:val="00364519"/>
    <w:rsid w:val="00364EF1"/>
    <w:rsid w:val="003664D8"/>
    <w:rsid w:val="00367FDC"/>
    <w:rsid w:val="0037060E"/>
    <w:rsid w:val="00372CCD"/>
    <w:rsid w:val="0037372B"/>
    <w:rsid w:val="00373CD4"/>
    <w:rsid w:val="00373EAD"/>
    <w:rsid w:val="00380B89"/>
    <w:rsid w:val="003822B8"/>
    <w:rsid w:val="003827D8"/>
    <w:rsid w:val="00384911"/>
    <w:rsid w:val="003850AB"/>
    <w:rsid w:val="00385B01"/>
    <w:rsid w:val="00385D50"/>
    <w:rsid w:val="00386517"/>
    <w:rsid w:val="00387475"/>
    <w:rsid w:val="0038778D"/>
    <w:rsid w:val="00390E87"/>
    <w:rsid w:val="003935E4"/>
    <w:rsid w:val="00394E57"/>
    <w:rsid w:val="0039579F"/>
    <w:rsid w:val="00397A40"/>
    <w:rsid w:val="00397DCB"/>
    <w:rsid w:val="003A20AE"/>
    <w:rsid w:val="003A28F1"/>
    <w:rsid w:val="003A301C"/>
    <w:rsid w:val="003A5005"/>
    <w:rsid w:val="003A6135"/>
    <w:rsid w:val="003B01AA"/>
    <w:rsid w:val="003B0EA0"/>
    <w:rsid w:val="003B1E8C"/>
    <w:rsid w:val="003B230F"/>
    <w:rsid w:val="003B3129"/>
    <w:rsid w:val="003B32EC"/>
    <w:rsid w:val="003B3E3D"/>
    <w:rsid w:val="003B69F0"/>
    <w:rsid w:val="003C03C6"/>
    <w:rsid w:val="003C0AA5"/>
    <w:rsid w:val="003C10B7"/>
    <w:rsid w:val="003C25B2"/>
    <w:rsid w:val="003C6A27"/>
    <w:rsid w:val="003C7715"/>
    <w:rsid w:val="003D14DC"/>
    <w:rsid w:val="003D1C09"/>
    <w:rsid w:val="003D28AD"/>
    <w:rsid w:val="003D318B"/>
    <w:rsid w:val="003D3C2C"/>
    <w:rsid w:val="003D4847"/>
    <w:rsid w:val="003D6AC6"/>
    <w:rsid w:val="003D73D0"/>
    <w:rsid w:val="003E19A7"/>
    <w:rsid w:val="003E3AE1"/>
    <w:rsid w:val="003E4298"/>
    <w:rsid w:val="003E6665"/>
    <w:rsid w:val="003E7CE8"/>
    <w:rsid w:val="003F29B4"/>
    <w:rsid w:val="003F33C1"/>
    <w:rsid w:val="003F4E1D"/>
    <w:rsid w:val="003F58A2"/>
    <w:rsid w:val="003F58A5"/>
    <w:rsid w:val="003F7186"/>
    <w:rsid w:val="00400B54"/>
    <w:rsid w:val="00402C90"/>
    <w:rsid w:val="00403E66"/>
    <w:rsid w:val="00405912"/>
    <w:rsid w:val="004073E1"/>
    <w:rsid w:val="00411D1A"/>
    <w:rsid w:val="00411ED0"/>
    <w:rsid w:val="00411F28"/>
    <w:rsid w:val="00413FFA"/>
    <w:rsid w:val="0041439D"/>
    <w:rsid w:val="00415A1A"/>
    <w:rsid w:val="00416E91"/>
    <w:rsid w:val="00420316"/>
    <w:rsid w:val="00421427"/>
    <w:rsid w:val="004224F0"/>
    <w:rsid w:val="0042257E"/>
    <w:rsid w:val="00422827"/>
    <w:rsid w:val="00422ABD"/>
    <w:rsid w:val="00422F76"/>
    <w:rsid w:val="00423537"/>
    <w:rsid w:val="00423ACB"/>
    <w:rsid w:val="00425728"/>
    <w:rsid w:val="004258A2"/>
    <w:rsid w:val="00431627"/>
    <w:rsid w:val="00431ED6"/>
    <w:rsid w:val="00433679"/>
    <w:rsid w:val="0043423D"/>
    <w:rsid w:val="004363F7"/>
    <w:rsid w:val="00441511"/>
    <w:rsid w:val="004423EE"/>
    <w:rsid w:val="00442F3D"/>
    <w:rsid w:val="00445639"/>
    <w:rsid w:val="004475C8"/>
    <w:rsid w:val="00453896"/>
    <w:rsid w:val="004559BB"/>
    <w:rsid w:val="00457C06"/>
    <w:rsid w:val="00460EE5"/>
    <w:rsid w:val="00460F14"/>
    <w:rsid w:val="00465012"/>
    <w:rsid w:val="0046587A"/>
    <w:rsid w:val="004713B0"/>
    <w:rsid w:val="00471F59"/>
    <w:rsid w:val="0047695D"/>
    <w:rsid w:val="00476B9C"/>
    <w:rsid w:val="00476EAA"/>
    <w:rsid w:val="0048007E"/>
    <w:rsid w:val="00480658"/>
    <w:rsid w:val="004806A7"/>
    <w:rsid w:val="00482E9E"/>
    <w:rsid w:val="00482EAA"/>
    <w:rsid w:val="00486A04"/>
    <w:rsid w:val="00486BC6"/>
    <w:rsid w:val="00490970"/>
    <w:rsid w:val="00491E04"/>
    <w:rsid w:val="00493E99"/>
    <w:rsid w:val="00494CDD"/>
    <w:rsid w:val="0049533F"/>
    <w:rsid w:val="00495857"/>
    <w:rsid w:val="004A14DD"/>
    <w:rsid w:val="004A282D"/>
    <w:rsid w:val="004A32E9"/>
    <w:rsid w:val="004A7216"/>
    <w:rsid w:val="004B087A"/>
    <w:rsid w:val="004B26C9"/>
    <w:rsid w:val="004B28C7"/>
    <w:rsid w:val="004B3446"/>
    <w:rsid w:val="004B37CF"/>
    <w:rsid w:val="004B715C"/>
    <w:rsid w:val="004C062A"/>
    <w:rsid w:val="004C1E4A"/>
    <w:rsid w:val="004C246E"/>
    <w:rsid w:val="004C273B"/>
    <w:rsid w:val="004C2ADD"/>
    <w:rsid w:val="004C6ECF"/>
    <w:rsid w:val="004D19D3"/>
    <w:rsid w:val="004D259C"/>
    <w:rsid w:val="004D2AFF"/>
    <w:rsid w:val="004D313F"/>
    <w:rsid w:val="004D31EC"/>
    <w:rsid w:val="004D5994"/>
    <w:rsid w:val="004D6486"/>
    <w:rsid w:val="004D77EB"/>
    <w:rsid w:val="004E16EF"/>
    <w:rsid w:val="004E2D08"/>
    <w:rsid w:val="004E418A"/>
    <w:rsid w:val="004E55B4"/>
    <w:rsid w:val="004E5CA6"/>
    <w:rsid w:val="004E6504"/>
    <w:rsid w:val="004F07BA"/>
    <w:rsid w:val="004F5244"/>
    <w:rsid w:val="004F5F13"/>
    <w:rsid w:val="004F74F4"/>
    <w:rsid w:val="00500518"/>
    <w:rsid w:val="00501C61"/>
    <w:rsid w:val="00502312"/>
    <w:rsid w:val="00507F01"/>
    <w:rsid w:val="00510ED0"/>
    <w:rsid w:val="00511F25"/>
    <w:rsid w:val="00513335"/>
    <w:rsid w:val="0051358F"/>
    <w:rsid w:val="00515D41"/>
    <w:rsid w:val="005165DB"/>
    <w:rsid w:val="00521580"/>
    <w:rsid w:val="005218DE"/>
    <w:rsid w:val="00521BE1"/>
    <w:rsid w:val="00521FD3"/>
    <w:rsid w:val="00523E8B"/>
    <w:rsid w:val="005256B4"/>
    <w:rsid w:val="0052749E"/>
    <w:rsid w:val="00530127"/>
    <w:rsid w:val="005318A1"/>
    <w:rsid w:val="00534B89"/>
    <w:rsid w:val="00534D92"/>
    <w:rsid w:val="00535297"/>
    <w:rsid w:val="005356B9"/>
    <w:rsid w:val="0053594E"/>
    <w:rsid w:val="00536966"/>
    <w:rsid w:val="00537B16"/>
    <w:rsid w:val="00537F48"/>
    <w:rsid w:val="00543ACB"/>
    <w:rsid w:val="00543E61"/>
    <w:rsid w:val="005452A5"/>
    <w:rsid w:val="00547469"/>
    <w:rsid w:val="0055230A"/>
    <w:rsid w:val="00555E44"/>
    <w:rsid w:val="00561CB1"/>
    <w:rsid w:val="00563E3C"/>
    <w:rsid w:val="00565CC4"/>
    <w:rsid w:val="00567F94"/>
    <w:rsid w:val="00570E63"/>
    <w:rsid w:val="005723F1"/>
    <w:rsid w:val="005754B8"/>
    <w:rsid w:val="0057652C"/>
    <w:rsid w:val="0058100A"/>
    <w:rsid w:val="0058139C"/>
    <w:rsid w:val="00582CC0"/>
    <w:rsid w:val="00584AA7"/>
    <w:rsid w:val="0058668F"/>
    <w:rsid w:val="00586F0B"/>
    <w:rsid w:val="0058751D"/>
    <w:rsid w:val="0059045B"/>
    <w:rsid w:val="005906DF"/>
    <w:rsid w:val="005945AC"/>
    <w:rsid w:val="00594FDC"/>
    <w:rsid w:val="005979A9"/>
    <w:rsid w:val="005A10F4"/>
    <w:rsid w:val="005A4F56"/>
    <w:rsid w:val="005A5C5D"/>
    <w:rsid w:val="005A723E"/>
    <w:rsid w:val="005B0EB6"/>
    <w:rsid w:val="005B2619"/>
    <w:rsid w:val="005B4829"/>
    <w:rsid w:val="005B4906"/>
    <w:rsid w:val="005B6895"/>
    <w:rsid w:val="005B70A5"/>
    <w:rsid w:val="005C032B"/>
    <w:rsid w:val="005C1288"/>
    <w:rsid w:val="005C18D5"/>
    <w:rsid w:val="005C5E29"/>
    <w:rsid w:val="005C5F0B"/>
    <w:rsid w:val="005C734D"/>
    <w:rsid w:val="005D197C"/>
    <w:rsid w:val="005D3CD2"/>
    <w:rsid w:val="005D575E"/>
    <w:rsid w:val="005D5B40"/>
    <w:rsid w:val="005E4A21"/>
    <w:rsid w:val="005E7F07"/>
    <w:rsid w:val="005F0163"/>
    <w:rsid w:val="005F0A77"/>
    <w:rsid w:val="005F12B0"/>
    <w:rsid w:val="005F2889"/>
    <w:rsid w:val="005F2C2D"/>
    <w:rsid w:val="005F5845"/>
    <w:rsid w:val="005F5BE8"/>
    <w:rsid w:val="00601BB7"/>
    <w:rsid w:val="006053BB"/>
    <w:rsid w:val="00611E27"/>
    <w:rsid w:val="00613BD9"/>
    <w:rsid w:val="006140E7"/>
    <w:rsid w:val="00614A77"/>
    <w:rsid w:val="0061678F"/>
    <w:rsid w:val="0062492C"/>
    <w:rsid w:val="00625EC7"/>
    <w:rsid w:val="00630A22"/>
    <w:rsid w:val="006327AF"/>
    <w:rsid w:val="006328E3"/>
    <w:rsid w:val="00634139"/>
    <w:rsid w:val="006345A8"/>
    <w:rsid w:val="00637F64"/>
    <w:rsid w:val="00640AEF"/>
    <w:rsid w:val="00641146"/>
    <w:rsid w:val="00641327"/>
    <w:rsid w:val="00641783"/>
    <w:rsid w:val="00642BE2"/>
    <w:rsid w:val="00643E88"/>
    <w:rsid w:val="006440DE"/>
    <w:rsid w:val="006463CB"/>
    <w:rsid w:val="00646AED"/>
    <w:rsid w:val="00650517"/>
    <w:rsid w:val="00650CC4"/>
    <w:rsid w:val="00653AEE"/>
    <w:rsid w:val="00657680"/>
    <w:rsid w:val="00657D9D"/>
    <w:rsid w:val="00657FB4"/>
    <w:rsid w:val="00662CE5"/>
    <w:rsid w:val="006639C4"/>
    <w:rsid w:val="00663E51"/>
    <w:rsid w:val="00666469"/>
    <w:rsid w:val="00671EC5"/>
    <w:rsid w:val="006733E4"/>
    <w:rsid w:val="006738DC"/>
    <w:rsid w:val="00675152"/>
    <w:rsid w:val="006756C3"/>
    <w:rsid w:val="00676CEC"/>
    <w:rsid w:val="00682079"/>
    <w:rsid w:val="00684192"/>
    <w:rsid w:val="0068718E"/>
    <w:rsid w:val="006920C7"/>
    <w:rsid w:val="00695507"/>
    <w:rsid w:val="006A1CE2"/>
    <w:rsid w:val="006A1E3C"/>
    <w:rsid w:val="006A2E65"/>
    <w:rsid w:val="006A2FF5"/>
    <w:rsid w:val="006A34A8"/>
    <w:rsid w:val="006A75DE"/>
    <w:rsid w:val="006B1BC8"/>
    <w:rsid w:val="006B1DF9"/>
    <w:rsid w:val="006B5463"/>
    <w:rsid w:val="006B5844"/>
    <w:rsid w:val="006C0993"/>
    <w:rsid w:val="006C0F0A"/>
    <w:rsid w:val="006C11BB"/>
    <w:rsid w:val="006C36DC"/>
    <w:rsid w:val="006C3A6E"/>
    <w:rsid w:val="006C5EDA"/>
    <w:rsid w:val="006C68FC"/>
    <w:rsid w:val="006C6EF2"/>
    <w:rsid w:val="006C7064"/>
    <w:rsid w:val="006C750F"/>
    <w:rsid w:val="006D1129"/>
    <w:rsid w:val="006D1A51"/>
    <w:rsid w:val="006D1FF5"/>
    <w:rsid w:val="006D20A2"/>
    <w:rsid w:val="006D7368"/>
    <w:rsid w:val="006D7CB9"/>
    <w:rsid w:val="006E010F"/>
    <w:rsid w:val="006E131C"/>
    <w:rsid w:val="006E163F"/>
    <w:rsid w:val="006E1D37"/>
    <w:rsid w:val="006E3CD7"/>
    <w:rsid w:val="006E46BF"/>
    <w:rsid w:val="006E518A"/>
    <w:rsid w:val="006E57C1"/>
    <w:rsid w:val="006E6AEE"/>
    <w:rsid w:val="006F000B"/>
    <w:rsid w:val="006F0170"/>
    <w:rsid w:val="006F16EA"/>
    <w:rsid w:val="006F1E00"/>
    <w:rsid w:val="006F3F52"/>
    <w:rsid w:val="006F6C10"/>
    <w:rsid w:val="006F6FD2"/>
    <w:rsid w:val="00701C07"/>
    <w:rsid w:val="007020AA"/>
    <w:rsid w:val="00702278"/>
    <w:rsid w:val="00702447"/>
    <w:rsid w:val="00702A1C"/>
    <w:rsid w:val="00703527"/>
    <w:rsid w:val="00704C09"/>
    <w:rsid w:val="0070714C"/>
    <w:rsid w:val="0071375E"/>
    <w:rsid w:val="00713BE7"/>
    <w:rsid w:val="00714024"/>
    <w:rsid w:val="00714292"/>
    <w:rsid w:val="00717B77"/>
    <w:rsid w:val="00721D66"/>
    <w:rsid w:val="007244A9"/>
    <w:rsid w:val="00725166"/>
    <w:rsid w:val="00730E46"/>
    <w:rsid w:val="007315FF"/>
    <w:rsid w:val="00731CF5"/>
    <w:rsid w:val="00733B41"/>
    <w:rsid w:val="007362A0"/>
    <w:rsid w:val="0073675B"/>
    <w:rsid w:val="007379EF"/>
    <w:rsid w:val="00741A1B"/>
    <w:rsid w:val="00742111"/>
    <w:rsid w:val="007432BC"/>
    <w:rsid w:val="00746679"/>
    <w:rsid w:val="0074753A"/>
    <w:rsid w:val="00750066"/>
    <w:rsid w:val="00751127"/>
    <w:rsid w:val="007513A4"/>
    <w:rsid w:val="007559CC"/>
    <w:rsid w:val="00756206"/>
    <w:rsid w:val="0076018A"/>
    <w:rsid w:val="00760845"/>
    <w:rsid w:val="00762293"/>
    <w:rsid w:val="00762407"/>
    <w:rsid w:val="00762E96"/>
    <w:rsid w:val="00764CA2"/>
    <w:rsid w:val="007652E2"/>
    <w:rsid w:val="007661CF"/>
    <w:rsid w:val="00766B0F"/>
    <w:rsid w:val="00766E07"/>
    <w:rsid w:val="00770813"/>
    <w:rsid w:val="00770C1F"/>
    <w:rsid w:val="00770E73"/>
    <w:rsid w:val="00772B79"/>
    <w:rsid w:val="00775C77"/>
    <w:rsid w:val="00775CD0"/>
    <w:rsid w:val="00780837"/>
    <w:rsid w:val="00781454"/>
    <w:rsid w:val="007846CC"/>
    <w:rsid w:val="00786F2A"/>
    <w:rsid w:val="00792C99"/>
    <w:rsid w:val="00796038"/>
    <w:rsid w:val="00796C26"/>
    <w:rsid w:val="007A1074"/>
    <w:rsid w:val="007A3486"/>
    <w:rsid w:val="007A4A95"/>
    <w:rsid w:val="007A4F06"/>
    <w:rsid w:val="007B395D"/>
    <w:rsid w:val="007B4AD1"/>
    <w:rsid w:val="007B51DA"/>
    <w:rsid w:val="007B63A0"/>
    <w:rsid w:val="007B7BC8"/>
    <w:rsid w:val="007C73A1"/>
    <w:rsid w:val="007C755F"/>
    <w:rsid w:val="007D2E41"/>
    <w:rsid w:val="007D48A2"/>
    <w:rsid w:val="007D69EA"/>
    <w:rsid w:val="007D6FCA"/>
    <w:rsid w:val="007E08BC"/>
    <w:rsid w:val="007E0A69"/>
    <w:rsid w:val="007E0C87"/>
    <w:rsid w:val="007E0EF6"/>
    <w:rsid w:val="007E0FF1"/>
    <w:rsid w:val="007E304E"/>
    <w:rsid w:val="007E739C"/>
    <w:rsid w:val="007E78B8"/>
    <w:rsid w:val="007E7B97"/>
    <w:rsid w:val="007F1C52"/>
    <w:rsid w:val="007F2F50"/>
    <w:rsid w:val="007F2FF5"/>
    <w:rsid w:val="007F490F"/>
    <w:rsid w:val="007F4ADE"/>
    <w:rsid w:val="007F5754"/>
    <w:rsid w:val="007F5A7C"/>
    <w:rsid w:val="007F6C0F"/>
    <w:rsid w:val="00802B8F"/>
    <w:rsid w:val="008032B7"/>
    <w:rsid w:val="008040E1"/>
    <w:rsid w:val="00805E92"/>
    <w:rsid w:val="00806975"/>
    <w:rsid w:val="008159DF"/>
    <w:rsid w:val="008175F6"/>
    <w:rsid w:val="0081770C"/>
    <w:rsid w:val="00817A2B"/>
    <w:rsid w:val="00820928"/>
    <w:rsid w:val="008215E8"/>
    <w:rsid w:val="00821834"/>
    <w:rsid w:val="00823235"/>
    <w:rsid w:val="008232C8"/>
    <w:rsid w:val="008242AD"/>
    <w:rsid w:val="0082469A"/>
    <w:rsid w:val="00825144"/>
    <w:rsid w:val="00825B43"/>
    <w:rsid w:val="00834159"/>
    <w:rsid w:val="008346E9"/>
    <w:rsid w:val="00836252"/>
    <w:rsid w:val="008363CC"/>
    <w:rsid w:val="00842CE4"/>
    <w:rsid w:val="00844310"/>
    <w:rsid w:val="00845231"/>
    <w:rsid w:val="00846AE4"/>
    <w:rsid w:val="00846BA3"/>
    <w:rsid w:val="00847D2B"/>
    <w:rsid w:val="00851FD3"/>
    <w:rsid w:val="00852357"/>
    <w:rsid w:val="008523F1"/>
    <w:rsid w:val="0085398E"/>
    <w:rsid w:val="0085417C"/>
    <w:rsid w:val="008544B2"/>
    <w:rsid w:val="008559AB"/>
    <w:rsid w:val="00856A4E"/>
    <w:rsid w:val="00856C5D"/>
    <w:rsid w:val="00860AA8"/>
    <w:rsid w:val="00861CBC"/>
    <w:rsid w:val="00862174"/>
    <w:rsid w:val="00863DC5"/>
    <w:rsid w:val="008644AE"/>
    <w:rsid w:val="00864BB0"/>
    <w:rsid w:val="0087092D"/>
    <w:rsid w:val="00870DA3"/>
    <w:rsid w:val="00873053"/>
    <w:rsid w:val="00874268"/>
    <w:rsid w:val="00874C32"/>
    <w:rsid w:val="00875602"/>
    <w:rsid w:val="00876527"/>
    <w:rsid w:val="00876CA0"/>
    <w:rsid w:val="00877F67"/>
    <w:rsid w:val="00886504"/>
    <w:rsid w:val="00887D42"/>
    <w:rsid w:val="008905EF"/>
    <w:rsid w:val="00890E3B"/>
    <w:rsid w:val="00892AF2"/>
    <w:rsid w:val="00893DA4"/>
    <w:rsid w:val="00893F79"/>
    <w:rsid w:val="00895EDF"/>
    <w:rsid w:val="008A1283"/>
    <w:rsid w:val="008A2828"/>
    <w:rsid w:val="008A347F"/>
    <w:rsid w:val="008A4C23"/>
    <w:rsid w:val="008B2D01"/>
    <w:rsid w:val="008B3C36"/>
    <w:rsid w:val="008B4BA5"/>
    <w:rsid w:val="008B5804"/>
    <w:rsid w:val="008B6191"/>
    <w:rsid w:val="008B6F1A"/>
    <w:rsid w:val="008C059F"/>
    <w:rsid w:val="008C31BA"/>
    <w:rsid w:val="008C5845"/>
    <w:rsid w:val="008C5D64"/>
    <w:rsid w:val="008C6113"/>
    <w:rsid w:val="008D10A5"/>
    <w:rsid w:val="008D1A77"/>
    <w:rsid w:val="008D409A"/>
    <w:rsid w:val="008E0EB5"/>
    <w:rsid w:val="008E193E"/>
    <w:rsid w:val="008E3C7E"/>
    <w:rsid w:val="008E5434"/>
    <w:rsid w:val="008F1F8C"/>
    <w:rsid w:val="008F2A1D"/>
    <w:rsid w:val="008F5467"/>
    <w:rsid w:val="008F5D23"/>
    <w:rsid w:val="0090096F"/>
    <w:rsid w:val="00900D0B"/>
    <w:rsid w:val="009015EC"/>
    <w:rsid w:val="00902806"/>
    <w:rsid w:val="00903011"/>
    <w:rsid w:val="00911665"/>
    <w:rsid w:val="00911D79"/>
    <w:rsid w:val="009145D5"/>
    <w:rsid w:val="009154BB"/>
    <w:rsid w:val="00917FC8"/>
    <w:rsid w:val="0092172D"/>
    <w:rsid w:val="00921BFB"/>
    <w:rsid w:val="00923B84"/>
    <w:rsid w:val="00923C9A"/>
    <w:rsid w:val="00924D0F"/>
    <w:rsid w:val="00925D88"/>
    <w:rsid w:val="0092746B"/>
    <w:rsid w:val="00927767"/>
    <w:rsid w:val="00931244"/>
    <w:rsid w:val="009334F0"/>
    <w:rsid w:val="00937B16"/>
    <w:rsid w:val="0094238F"/>
    <w:rsid w:val="00943CA4"/>
    <w:rsid w:val="00946BC4"/>
    <w:rsid w:val="009475BF"/>
    <w:rsid w:val="00947E79"/>
    <w:rsid w:val="009512D9"/>
    <w:rsid w:val="00951901"/>
    <w:rsid w:val="00955CF2"/>
    <w:rsid w:val="00960E44"/>
    <w:rsid w:val="0096104C"/>
    <w:rsid w:val="00961A2E"/>
    <w:rsid w:val="00963E0B"/>
    <w:rsid w:val="009641CD"/>
    <w:rsid w:val="009647D3"/>
    <w:rsid w:val="00965EB7"/>
    <w:rsid w:val="0097052F"/>
    <w:rsid w:val="00970883"/>
    <w:rsid w:val="00971F55"/>
    <w:rsid w:val="00972B27"/>
    <w:rsid w:val="0097379A"/>
    <w:rsid w:val="00975A74"/>
    <w:rsid w:val="00977852"/>
    <w:rsid w:val="00980FBA"/>
    <w:rsid w:val="00981035"/>
    <w:rsid w:val="009812C3"/>
    <w:rsid w:val="009829BF"/>
    <w:rsid w:val="009835DA"/>
    <w:rsid w:val="00983DB3"/>
    <w:rsid w:val="009845C4"/>
    <w:rsid w:val="00984C6F"/>
    <w:rsid w:val="00985D4A"/>
    <w:rsid w:val="00995338"/>
    <w:rsid w:val="009A4672"/>
    <w:rsid w:val="009A4A74"/>
    <w:rsid w:val="009A4B53"/>
    <w:rsid w:val="009A64CC"/>
    <w:rsid w:val="009A7B2B"/>
    <w:rsid w:val="009B4C3E"/>
    <w:rsid w:val="009B4D20"/>
    <w:rsid w:val="009B4E6F"/>
    <w:rsid w:val="009B5A0D"/>
    <w:rsid w:val="009C4CEE"/>
    <w:rsid w:val="009C52AC"/>
    <w:rsid w:val="009D1CBA"/>
    <w:rsid w:val="009D3BBE"/>
    <w:rsid w:val="009D60DC"/>
    <w:rsid w:val="009D65A8"/>
    <w:rsid w:val="009E0C46"/>
    <w:rsid w:val="009E3EC1"/>
    <w:rsid w:val="009E410E"/>
    <w:rsid w:val="009E5320"/>
    <w:rsid w:val="009E6D9B"/>
    <w:rsid w:val="009F3FB5"/>
    <w:rsid w:val="009F5F0B"/>
    <w:rsid w:val="009F6B2C"/>
    <w:rsid w:val="00A03FD4"/>
    <w:rsid w:val="00A052A9"/>
    <w:rsid w:val="00A1158E"/>
    <w:rsid w:val="00A116EA"/>
    <w:rsid w:val="00A12AC5"/>
    <w:rsid w:val="00A13C92"/>
    <w:rsid w:val="00A17228"/>
    <w:rsid w:val="00A1751B"/>
    <w:rsid w:val="00A269E8"/>
    <w:rsid w:val="00A31510"/>
    <w:rsid w:val="00A3230F"/>
    <w:rsid w:val="00A34DDF"/>
    <w:rsid w:val="00A42266"/>
    <w:rsid w:val="00A51DEC"/>
    <w:rsid w:val="00A521FB"/>
    <w:rsid w:val="00A5257F"/>
    <w:rsid w:val="00A53207"/>
    <w:rsid w:val="00A56B60"/>
    <w:rsid w:val="00A65350"/>
    <w:rsid w:val="00A658D8"/>
    <w:rsid w:val="00A65B63"/>
    <w:rsid w:val="00A65D12"/>
    <w:rsid w:val="00A71E66"/>
    <w:rsid w:val="00A731B2"/>
    <w:rsid w:val="00A73D26"/>
    <w:rsid w:val="00A815E5"/>
    <w:rsid w:val="00A81640"/>
    <w:rsid w:val="00A81BB4"/>
    <w:rsid w:val="00A83F2D"/>
    <w:rsid w:val="00A8435A"/>
    <w:rsid w:val="00A84504"/>
    <w:rsid w:val="00A85503"/>
    <w:rsid w:val="00A87C10"/>
    <w:rsid w:val="00A92F82"/>
    <w:rsid w:val="00A93E1A"/>
    <w:rsid w:val="00AA129D"/>
    <w:rsid w:val="00AA18C0"/>
    <w:rsid w:val="00AA28B0"/>
    <w:rsid w:val="00AA31B0"/>
    <w:rsid w:val="00AA3D7C"/>
    <w:rsid w:val="00AA5175"/>
    <w:rsid w:val="00AB2E40"/>
    <w:rsid w:val="00AB7B66"/>
    <w:rsid w:val="00AC081C"/>
    <w:rsid w:val="00AC2F55"/>
    <w:rsid w:val="00AC5335"/>
    <w:rsid w:val="00AC7604"/>
    <w:rsid w:val="00AD1A90"/>
    <w:rsid w:val="00AD5D01"/>
    <w:rsid w:val="00AD71CD"/>
    <w:rsid w:val="00AD78B3"/>
    <w:rsid w:val="00AE0015"/>
    <w:rsid w:val="00AE0C57"/>
    <w:rsid w:val="00AE1EFF"/>
    <w:rsid w:val="00AE59BE"/>
    <w:rsid w:val="00AF1E77"/>
    <w:rsid w:val="00AF36E0"/>
    <w:rsid w:val="00AF67CE"/>
    <w:rsid w:val="00B04F67"/>
    <w:rsid w:val="00B04FDE"/>
    <w:rsid w:val="00B07450"/>
    <w:rsid w:val="00B12004"/>
    <w:rsid w:val="00B12A05"/>
    <w:rsid w:val="00B13D4E"/>
    <w:rsid w:val="00B1403E"/>
    <w:rsid w:val="00B14C73"/>
    <w:rsid w:val="00B21290"/>
    <w:rsid w:val="00B2134D"/>
    <w:rsid w:val="00B22609"/>
    <w:rsid w:val="00B31A98"/>
    <w:rsid w:val="00B327C6"/>
    <w:rsid w:val="00B339FD"/>
    <w:rsid w:val="00B43A05"/>
    <w:rsid w:val="00B457CF"/>
    <w:rsid w:val="00B4759F"/>
    <w:rsid w:val="00B47D95"/>
    <w:rsid w:val="00B51D63"/>
    <w:rsid w:val="00B5211F"/>
    <w:rsid w:val="00B552E4"/>
    <w:rsid w:val="00B57481"/>
    <w:rsid w:val="00B574C3"/>
    <w:rsid w:val="00B60107"/>
    <w:rsid w:val="00B60CE7"/>
    <w:rsid w:val="00B6338A"/>
    <w:rsid w:val="00B63CCB"/>
    <w:rsid w:val="00B64087"/>
    <w:rsid w:val="00B6553B"/>
    <w:rsid w:val="00B67D2E"/>
    <w:rsid w:val="00B74B25"/>
    <w:rsid w:val="00B74D94"/>
    <w:rsid w:val="00B75E6D"/>
    <w:rsid w:val="00B77884"/>
    <w:rsid w:val="00B77F2A"/>
    <w:rsid w:val="00B92F7E"/>
    <w:rsid w:val="00B94D31"/>
    <w:rsid w:val="00B955CE"/>
    <w:rsid w:val="00BA617F"/>
    <w:rsid w:val="00BB2D49"/>
    <w:rsid w:val="00BB6F51"/>
    <w:rsid w:val="00BB78D7"/>
    <w:rsid w:val="00BC07D4"/>
    <w:rsid w:val="00BC6A5B"/>
    <w:rsid w:val="00BC6C0C"/>
    <w:rsid w:val="00BC6EDA"/>
    <w:rsid w:val="00BC7B86"/>
    <w:rsid w:val="00BD5926"/>
    <w:rsid w:val="00BD746D"/>
    <w:rsid w:val="00BD7A20"/>
    <w:rsid w:val="00BE0D3D"/>
    <w:rsid w:val="00BE4916"/>
    <w:rsid w:val="00BE6677"/>
    <w:rsid w:val="00BE755D"/>
    <w:rsid w:val="00BE7EC3"/>
    <w:rsid w:val="00BF0205"/>
    <w:rsid w:val="00BF3357"/>
    <w:rsid w:val="00BF3F81"/>
    <w:rsid w:val="00C015C5"/>
    <w:rsid w:val="00C02F30"/>
    <w:rsid w:val="00C0596D"/>
    <w:rsid w:val="00C11252"/>
    <w:rsid w:val="00C12F45"/>
    <w:rsid w:val="00C13516"/>
    <w:rsid w:val="00C15231"/>
    <w:rsid w:val="00C20459"/>
    <w:rsid w:val="00C20466"/>
    <w:rsid w:val="00C2126D"/>
    <w:rsid w:val="00C21AD2"/>
    <w:rsid w:val="00C301ED"/>
    <w:rsid w:val="00C30F6C"/>
    <w:rsid w:val="00C32F96"/>
    <w:rsid w:val="00C32FCB"/>
    <w:rsid w:val="00C33C14"/>
    <w:rsid w:val="00C33E09"/>
    <w:rsid w:val="00C352D7"/>
    <w:rsid w:val="00C36016"/>
    <w:rsid w:val="00C36241"/>
    <w:rsid w:val="00C36320"/>
    <w:rsid w:val="00C41CF0"/>
    <w:rsid w:val="00C449DB"/>
    <w:rsid w:val="00C451CB"/>
    <w:rsid w:val="00C45CC2"/>
    <w:rsid w:val="00C47A20"/>
    <w:rsid w:val="00C5070A"/>
    <w:rsid w:val="00C5311B"/>
    <w:rsid w:val="00C549A3"/>
    <w:rsid w:val="00C61FA2"/>
    <w:rsid w:val="00C62623"/>
    <w:rsid w:val="00C6339D"/>
    <w:rsid w:val="00C64A10"/>
    <w:rsid w:val="00C65707"/>
    <w:rsid w:val="00C66A81"/>
    <w:rsid w:val="00C678ED"/>
    <w:rsid w:val="00C67C33"/>
    <w:rsid w:val="00C70EAA"/>
    <w:rsid w:val="00C71C7A"/>
    <w:rsid w:val="00C71E61"/>
    <w:rsid w:val="00C73DFA"/>
    <w:rsid w:val="00C73E17"/>
    <w:rsid w:val="00C748FF"/>
    <w:rsid w:val="00C77245"/>
    <w:rsid w:val="00C8156E"/>
    <w:rsid w:val="00C818F5"/>
    <w:rsid w:val="00C81BC5"/>
    <w:rsid w:val="00C82844"/>
    <w:rsid w:val="00C82F3D"/>
    <w:rsid w:val="00C854A8"/>
    <w:rsid w:val="00C85841"/>
    <w:rsid w:val="00C86049"/>
    <w:rsid w:val="00C91621"/>
    <w:rsid w:val="00C919FE"/>
    <w:rsid w:val="00C94AFF"/>
    <w:rsid w:val="00C96BD6"/>
    <w:rsid w:val="00CA033E"/>
    <w:rsid w:val="00CA258B"/>
    <w:rsid w:val="00CA3384"/>
    <w:rsid w:val="00CA4EA5"/>
    <w:rsid w:val="00CA61DB"/>
    <w:rsid w:val="00CA6A0B"/>
    <w:rsid w:val="00CB141E"/>
    <w:rsid w:val="00CB1809"/>
    <w:rsid w:val="00CB1CA7"/>
    <w:rsid w:val="00CB1DA7"/>
    <w:rsid w:val="00CB4319"/>
    <w:rsid w:val="00CB5D14"/>
    <w:rsid w:val="00CB5FCF"/>
    <w:rsid w:val="00CB7786"/>
    <w:rsid w:val="00CC1CC0"/>
    <w:rsid w:val="00CC209E"/>
    <w:rsid w:val="00CC308F"/>
    <w:rsid w:val="00CC58C4"/>
    <w:rsid w:val="00CC6F7C"/>
    <w:rsid w:val="00CC7127"/>
    <w:rsid w:val="00CC7868"/>
    <w:rsid w:val="00CC78A2"/>
    <w:rsid w:val="00CC7FFD"/>
    <w:rsid w:val="00CD34BE"/>
    <w:rsid w:val="00CD3506"/>
    <w:rsid w:val="00CD489D"/>
    <w:rsid w:val="00CD56FE"/>
    <w:rsid w:val="00CE20B5"/>
    <w:rsid w:val="00CE24B8"/>
    <w:rsid w:val="00CE2FA2"/>
    <w:rsid w:val="00CE72CC"/>
    <w:rsid w:val="00CF0142"/>
    <w:rsid w:val="00CF0AD7"/>
    <w:rsid w:val="00CF340D"/>
    <w:rsid w:val="00CF626B"/>
    <w:rsid w:val="00CF6806"/>
    <w:rsid w:val="00CF721C"/>
    <w:rsid w:val="00CF784D"/>
    <w:rsid w:val="00D00C2F"/>
    <w:rsid w:val="00D00DFA"/>
    <w:rsid w:val="00D02145"/>
    <w:rsid w:val="00D02A59"/>
    <w:rsid w:val="00D045C4"/>
    <w:rsid w:val="00D0566C"/>
    <w:rsid w:val="00D05D63"/>
    <w:rsid w:val="00D06517"/>
    <w:rsid w:val="00D0698B"/>
    <w:rsid w:val="00D06D9E"/>
    <w:rsid w:val="00D10C50"/>
    <w:rsid w:val="00D12A62"/>
    <w:rsid w:val="00D141EA"/>
    <w:rsid w:val="00D15212"/>
    <w:rsid w:val="00D15A48"/>
    <w:rsid w:val="00D17053"/>
    <w:rsid w:val="00D177C7"/>
    <w:rsid w:val="00D21989"/>
    <w:rsid w:val="00D223C4"/>
    <w:rsid w:val="00D225EA"/>
    <w:rsid w:val="00D23D4B"/>
    <w:rsid w:val="00D248E8"/>
    <w:rsid w:val="00D25193"/>
    <w:rsid w:val="00D27A0A"/>
    <w:rsid w:val="00D30335"/>
    <w:rsid w:val="00D30CCE"/>
    <w:rsid w:val="00D30CEE"/>
    <w:rsid w:val="00D30D37"/>
    <w:rsid w:val="00D328D6"/>
    <w:rsid w:val="00D330FF"/>
    <w:rsid w:val="00D34278"/>
    <w:rsid w:val="00D35048"/>
    <w:rsid w:val="00D35B0B"/>
    <w:rsid w:val="00D36949"/>
    <w:rsid w:val="00D40F47"/>
    <w:rsid w:val="00D432A0"/>
    <w:rsid w:val="00D43CC4"/>
    <w:rsid w:val="00D43E4E"/>
    <w:rsid w:val="00D45D9E"/>
    <w:rsid w:val="00D46EF8"/>
    <w:rsid w:val="00D514B8"/>
    <w:rsid w:val="00D525CD"/>
    <w:rsid w:val="00D52E63"/>
    <w:rsid w:val="00D54001"/>
    <w:rsid w:val="00D56F54"/>
    <w:rsid w:val="00D617D2"/>
    <w:rsid w:val="00D626EA"/>
    <w:rsid w:val="00D62B9B"/>
    <w:rsid w:val="00D655E0"/>
    <w:rsid w:val="00D7229F"/>
    <w:rsid w:val="00D732B2"/>
    <w:rsid w:val="00D73A47"/>
    <w:rsid w:val="00D74D76"/>
    <w:rsid w:val="00D80A11"/>
    <w:rsid w:val="00D84A40"/>
    <w:rsid w:val="00D87A8C"/>
    <w:rsid w:val="00D92086"/>
    <w:rsid w:val="00D920EB"/>
    <w:rsid w:val="00D9694D"/>
    <w:rsid w:val="00D973A5"/>
    <w:rsid w:val="00D97E35"/>
    <w:rsid w:val="00DA2951"/>
    <w:rsid w:val="00DA295E"/>
    <w:rsid w:val="00DA4D89"/>
    <w:rsid w:val="00DA4F0D"/>
    <w:rsid w:val="00DA5A1B"/>
    <w:rsid w:val="00DA5FDE"/>
    <w:rsid w:val="00DB099C"/>
    <w:rsid w:val="00DB58FE"/>
    <w:rsid w:val="00DB6FA4"/>
    <w:rsid w:val="00DC154C"/>
    <w:rsid w:val="00DC6FF8"/>
    <w:rsid w:val="00DD1EDD"/>
    <w:rsid w:val="00DD458D"/>
    <w:rsid w:val="00DD48DD"/>
    <w:rsid w:val="00DD5AF6"/>
    <w:rsid w:val="00DE124A"/>
    <w:rsid w:val="00DE1D18"/>
    <w:rsid w:val="00DE30A3"/>
    <w:rsid w:val="00DE350B"/>
    <w:rsid w:val="00DE501C"/>
    <w:rsid w:val="00DE59E2"/>
    <w:rsid w:val="00DF02E2"/>
    <w:rsid w:val="00DF14A7"/>
    <w:rsid w:val="00DF19BE"/>
    <w:rsid w:val="00DF28E8"/>
    <w:rsid w:val="00DF4273"/>
    <w:rsid w:val="00E0014A"/>
    <w:rsid w:val="00E0052E"/>
    <w:rsid w:val="00E01DDE"/>
    <w:rsid w:val="00E048C6"/>
    <w:rsid w:val="00E065C5"/>
    <w:rsid w:val="00E07B00"/>
    <w:rsid w:val="00E1086D"/>
    <w:rsid w:val="00E1091E"/>
    <w:rsid w:val="00E10ABC"/>
    <w:rsid w:val="00E126CF"/>
    <w:rsid w:val="00E129DC"/>
    <w:rsid w:val="00E14A00"/>
    <w:rsid w:val="00E15046"/>
    <w:rsid w:val="00E16EEF"/>
    <w:rsid w:val="00E17362"/>
    <w:rsid w:val="00E17883"/>
    <w:rsid w:val="00E230D6"/>
    <w:rsid w:val="00E23A6D"/>
    <w:rsid w:val="00E302C5"/>
    <w:rsid w:val="00E31828"/>
    <w:rsid w:val="00E35CA1"/>
    <w:rsid w:val="00E37BE9"/>
    <w:rsid w:val="00E40441"/>
    <w:rsid w:val="00E418B6"/>
    <w:rsid w:val="00E42EC1"/>
    <w:rsid w:val="00E442B1"/>
    <w:rsid w:val="00E45ABF"/>
    <w:rsid w:val="00E45B51"/>
    <w:rsid w:val="00E45C84"/>
    <w:rsid w:val="00E52C78"/>
    <w:rsid w:val="00E53426"/>
    <w:rsid w:val="00E53B4D"/>
    <w:rsid w:val="00E53CAE"/>
    <w:rsid w:val="00E568F8"/>
    <w:rsid w:val="00E57272"/>
    <w:rsid w:val="00E6073D"/>
    <w:rsid w:val="00E60A5F"/>
    <w:rsid w:val="00E64462"/>
    <w:rsid w:val="00E7023A"/>
    <w:rsid w:val="00E71058"/>
    <w:rsid w:val="00E72BEF"/>
    <w:rsid w:val="00E73BC4"/>
    <w:rsid w:val="00E75F4B"/>
    <w:rsid w:val="00E810C5"/>
    <w:rsid w:val="00E81CC5"/>
    <w:rsid w:val="00E86AD1"/>
    <w:rsid w:val="00E91875"/>
    <w:rsid w:val="00E92A89"/>
    <w:rsid w:val="00E92B93"/>
    <w:rsid w:val="00E933CD"/>
    <w:rsid w:val="00E97018"/>
    <w:rsid w:val="00EA0E79"/>
    <w:rsid w:val="00EA1D16"/>
    <w:rsid w:val="00EA20FD"/>
    <w:rsid w:val="00EA21C1"/>
    <w:rsid w:val="00EA29EC"/>
    <w:rsid w:val="00EA3BB7"/>
    <w:rsid w:val="00EA3BC2"/>
    <w:rsid w:val="00EA5576"/>
    <w:rsid w:val="00EA6C85"/>
    <w:rsid w:val="00EB0D24"/>
    <w:rsid w:val="00EB0DBD"/>
    <w:rsid w:val="00EB5A22"/>
    <w:rsid w:val="00EB7211"/>
    <w:rsid w:val="00EB7B02"/>
    <w:rsid w:val="00EC5C14"/>
    <w:rsid w:val="00ED0754"/>
    <w:rsid w:val="00ED0A74"/>
    <w:rsid w:val="00ED18D3"/>
    <w:rsid w:val="00ED32C9"/>
    <w:rsid w:val="00ED430B"/>
    <w:rsid w:val="00ED4C03"/>
    <w:rsid w:val="00ED4F17"/>
    <w:rsid w:val="00ED5967"/>
    <w:rsid w:val="00EE0A96"/>
    <w:rsid w:val="00EE0FF7"/>
    <w:rsid w:val="00EE4372"/>
    <w:rsid w:val="00EE65D0"/>
    <w:rsid w:val="00EE6C35"/>
    <w:rsid w:val="00EE70BD"/>
    <w:rsid w:val="00EE789D"/>
    <w:rsid w:val="00EF023A"/>
    <w:rsid w:val="00EF103B"/>
    <w:rsid w:val="00EF31F0"/>
    <w:rsid w:val="00EF3FF4"/>
    <w:rsid w:val="00EF471F"/>
    <w:rsid w:val="00EF626C"/>
    <w:rsid w:val="00F0170E"/>
    <w:rsid w:val="00F02840"/>
    <w:rsid w:val="00F02BEF"/>
    <w:rsid w:val="00F06680"/>
    <w:rsid w:val="00F06A9F"/>
    <w:rsid w:val="00F06BEE"/>
    <w:rsid w:val="00F0705A"/>
    <w:rsid w:val="00F10D18"/>
    <w:rsid w:val="00F15770"/>
    <w:rsid w:val="00F164B7"/>
    <w:rsid w:val="00F16581"/>
    <w:rsid w:val="00F17A67"/>
    <w:rsid w:val="00F20B1F"/>
    <w:rsid w:val="00F20D77"/>
    <w:rsid w:val="00F211D1"/>
    <w:rsid w:val="00F21570"/>
    <w:rsid w:val="00F223AF"/>
    <w:rsid w:val="00F22E82"/>
    <w:rsid w:val="00F23498"/>
    <w:rsid w:val="00F2722E"/>
    <w:rsid w:val="00F273D2"/>
    <w:rsid w:val="00F31126"/>
    <w:rsid w:val="00F329A8"/>
    <w:rsid w:val="00F360E4"/>
    <w:rsid w:val="00F37612"/>
    <w:rsid w:val="00F3791C"/>
    <w:rsid w:val="00F40A07"/>
    <w:rsid w:val="00F42CF2"/>
    <w:rsid w:val="00F432C6"/>
    <w:rsid w:val="00F454A7"/>
    <w:rsid w:val="00F50BAE"/>
    <w:rsid w:val="00F51576"/>
    <w:rsid w:val="00F5647B"/>
    <w:rsid w:val="00F56627"/>
    <w:rsid w:val="00F56937"/>
    <w:rsid w:val="00F60182"/>
    <w:rsid w:val="00F61379"/>
    <w:rsid w:val="00F6208A"/>
    <w:rsid w:val="00F65E57"/>
    <w:rsid w:val="00F6653E"/>
    <w:rsid w:val="00F6682E"/>
    <w:rsid w:val="00F70B55"/>
    <w:rsid w:val="00F718C2"/>
    <w:rsid w:val="00F719B1"/>
    <w:rsid w:val="00F72EE2"/>
    <w:rsid w:val="00F73C98"/>
    <w:rsid w:val="00F764CF"/>
    <w:rsid w:val="00F7699A"/>
    <w:rsid w:val="00F772F9"/>
    <w:rsid w:val="00F81221"/>
    <w:rsid w:val="00F81FC7"/>
    <w:rsid w:val="00F92BCB"/>
    <w:rsid w:val="00F92E08"/>
    <w:rsid w:val="00F93790"/>
    <w:rsid w:val="00F96274"/>
    <w:rsid w:val="00F97612"/>
    <w:rsid w:val="00F9769E"/>
    <w:rsid w:val="00F97CDD"/>
    <w:rsid w:val="00FA0D17"/>
    <w:rsid w:val="00FA367B"/>
    <w:rsid w:val="00FA4098"/>
    <w:rsid w:val="00FB1565"/>
    <w:rsid w:val="00FB3934"/>
    <w:rsid w:val="00FB3B31"/>
    <w:rsid w:val="00FB4891"/>
    <w:rsid w:val="00FB5F06"/>
    <w:rsid w:val="00FB6E11"/>
    <w:rsid w:val="00FB7759"/>
    <w:rsid w:val="00FC493D"/>
    <w:rsid w:val="00FC4B34"/>
    <w:rsid w:val="00FD1061"/>
    <w:rsid w:val="00FD1E98"/>
    <w:rsid w:val="00FD25BA"/>
    <w:rsid w:val="00FD4FB0"/>
    <w:rsid w:val="00FD5329"/>
    <w:rsid w:val="00FD747E"/>
    <w:rsid w:val="00FD7E60"/>
    <w:rsid w:val="00FE0743"/>
    <w:rsid w:val="00FE118B"/>
    <w:rsid w:val="00FE220B"/>
    <w:rsid w:val="00FE3D57"/>
    <w:rsid w:val="00FE4A88"/>
    <w:rsid w:val="00FE5161"/>
    <w:rsid w:val="00FE5496"/>
    <w:rsid w:val="00FE5B7B"/>
    <w:rsid w:val="00FE5FE0"/>
    <w:rsid w:val="00FF08A8"/>
    <w:rsid w:val="00FF0E53"/>
    <w:rsid w:val="00FF2365"/>
    <w:rsid w:val="00FF26CA"/>
    <w:rsid w:val="00FF3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F5714"/>
  <w15:chartTrackingRefBased/>
  <w15:docId w15:val="{9E2B2486-BCE3-4B10-B61C-B745D67D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570"/>
    <w:pPr>
      <w:keepNext/>
      <w:keepLines/>
      <w:spacing w:before="360" w:after="80"/>
      <w:outlineLvl w:val="0"/>
    </w:pPr>
    <w:rPr>
      <w:rFonts w:asciiTheme="majorHAnsi" w:eastAsiaTheme="majorEastAsia" w:hAnsiTheme="majorHAnsi" w:cstheme="majorBidi"/>
      <w:color w:val="EF3B2C"/>
      <w:sz w:val="40"/>
      <w:szCs w:val="40"/>
    </w:rPr>
  </w:style>
  <w:style w:type="paragraph" w:styleId="Heading2">
    <w:name w:val="heading 2"/>
    <w:basedOn w:val="Normal"/>
    <w:next w:val="Normal"/>
    <w:link w:val="Heading2Char"/>
    <w:uiPriority w:val="9"/>
    <w:unhideWhenUsed/>
    <w:qFormat/>
    <w:rsid w:val="004B3446"/>
    <w:pPr>
      <w:keepNext/>
      <w:keepLines/>
      <w:spacing w:before="160" w:after="80"/>
      <w:outlineLvl w:val="1"/>
    </w:pPr>
    <w:rPr>
      <w:rFonts w:asciiTheme="majorHAnsi" w:eastAsiaTheme="majorEastAsia" w:hAnsiTheme="majorHAnsi" w:cstheme="majorBidi"/>
      <w:color w:val="EF3B2C"/>
      <w:sz w:val="32"/>
      <w:szCs w:val="32"/>
    </w:rPr>
  </w:style>
  <w:style w:type="paragraph" w:styleId="Heading3">
    <w:name w:val="heading 3"/>
    <w:basedOn w:val="Normal"/>
    <w:next w:val="Normal"/>
    <w:link w:val="Heading3Char"/>
    <w:uiPriority w:val="9"/>
    <w:unhideWhenUsed/>
    <w:qFormat/>
    <w:rsid w:val="004B3446"/>
    <w:pPr>
      <w:keepNext/>
      <w:keepLines/>
      <w:spacing w:before="160" w:after="80"/>
      <w:outlineLvl w:val="2"/>
    </w:pPr>
    <w:rPr>
      <w:rFonts w:eastAsiaTheme="majorEastAsia" w:cstheme="majorBidi"/>
      <w:color w:val="EF3B2C"/>
      <w:sz w:val="28"/>
      <w:szCs w:val="28"/>
    </w:rPr>
  </w:style>
  <w:style w:type="paragraph" w:styleId="Heading4">
    <w:name w:val="heading 4"/>
    <w:basedOn w:val="Normal"/>
    <w:next w:val="Normal"/>
    <w:link w:val="Heading4Char"/>
    <w:uiPriority w:val="9"/>
    <w:unhideWhenUsed/>
    <w:qFormat/>
    <w:rsid w:val="004B3446"/>
    <w:pPr>
      <w:keepNext/>
      <w:keepLines/>
      <w:spacing w:before="80" w:after="40"/>
      <w:outlineLvl w:val="3"/>
    </w:pPr>
    <w:rPr>
      <w:rFonts w:eastAsiaTheme="majorEastAsia" w:cstheme="majorBidi"/>
      <w:i/>
      <w:iCs/>
      <w:color w:val="EF3B2C"/>
    </w:rPr>
  </w:style>
  <w:style w:type="paragraph" w:styleId="Heading5">
    <w:name w:val="heading 5"/>
    <w:basedOn w:val="Normal"/>
    <w:next w:val="Normal"/>
    <w:link w:val="Heading5Char"/>
    <w:uiPriority w:val="9"/>
    <w:unhideWhenUsed/>
    <w:qFormat/>
    <w:rsid w:val="00B633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B633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33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33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33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570"/>
    <w:rPr>
      <w:rFonts w:asciiTheme="majorHAnsi" w:eastAsiaTheme="majorEastAsia" w:hAnsiTheme="majorHAnsi" w:cstheme="majorBidi"/>
      <w:color w:val="EF3B2C"/>
      <w:sz w:val="40"/>
      <w:szCs w:val="40"/>
    </w:rPr>
  </w:style>
  <w:style w:type="character" w:customStyle="1" w:styleId="Heading2Char">
    <w:name w:val="Heading 2 Char"/>
    <w:basedOn w:val="DefaultParagraphFont"/>
    <w:link w:val="Heading2"/>
    <w:uiPriority w:val="9"/>
    <w:rsid w:val="004B3446"/>
    <w:rPr>
      <w:rFonts w:asciiTheme="majorHAnsi" w:eastAsiaTheme="majorEastAsia" w:hAnsiTheme="majorHAnsi" w:cstheme="majorBidi"/>
      <w:color w:val="EF3B2C"/>
      <w:sz w:val="32"/>
      <w:szCs w:val="32"/>
    </w:rPr>
  </w:style>
  <w:style w:type="character" w:customStyle="1" w:styleId="Heading3Char">
    <w:name w:val="Heading 3 Char"/>
    <w:basedOn w:val="DefaultParagraphFont"/>
    <w:link w:val="Heading3"/>
    <w:uiPriority w:val="9"/>
    <w:rsid w:val="004B3446"/>
    <w:rPr>
      <w:rFonts w:eastAsiaTheme="majorEastAsia" w:cstheme="majorBidi"/>
      <w:color w:val="EF3B2C"/>
      <w:sz w:val="28"/>
      <w:szCs w:val="28"/>
    </w:rPr>
  </w:style>
  <w:style w:type="character" w:customStyle="1" w:styleId="Heading4Char">
    <w:name w:val="Heading 4 Char"/>
    <w:basedOn w:val="DefaultParagraphFont"/>
    <w:link w:val="Heading4"/>
    <w:uiPriority w:val="9"/>
    <w:rsid w:val="004B3446"/>
    <w:rPr>
      <w:rFonts w:eastAsiaTheme="majorEastAsia" w:cstheme="majorBidi"/>
      <w:i/>
      <w:iCs/>
      <w:color w:val="EF3B2C"/>
    </w:rPr>
  </w:style>
  <w:style w:type="character" w:customStyle="1" w:styleId="Heading5Char">
    <w:name w:val="Heading 5 Char"/>
    <w:basedOn w:val="DefaultParagraphFont"/>
    <w:link w:val="Heading5"/>
    <w:uiPriority w:val="9"/>
    <w:rsid w:val="00B6338A"/>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B633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33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33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338A"/>
    <w:rPr>
      <w:rFonts w:eastAsiaTheme="majorEastAsia" w:cstheme="majorBidi"/>
      <w:color w:val="272727" w:themeColor="text1" w:themeTint="D8"/>
    </w:rPr>
  </w:style>
  <w:style w:type="paragraph" w:styleId="Title">
    <w:name w:val="Title"/>
    <w:basedOn w:val="Normal"/>
    <w:next w:val="Normal"/>
    <w:link w:val="TitleChar"/>
    <w:uiPriority w:val="10"/>
    <w:qFormat/>
    <w:rsid w:val="00B633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33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33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33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338A"/>
    <w:pPr>
      <w:spacing w:before="160"/>
      <w:jc w:val="center"/>
    </w:pPr>
    <w:rPr>
      <w:i/>
      <w:iCs/>
      <w:color w:val="404040" w:themeColor="text1" w:themeTint="BF"/>
    </w:rPr>
  </w:style>
  <w:style w:type="character" w:customStyle="1" w:styleId="QuoteChar">
    <w:name w:val="Quote Char"/>
    <w:basedOn w:val="DefaultParagraphFont"/>
    <w:link w:val="Quote"/>
    <w:uiPriority w:val="29"/>
    <w:rsid w:val="00B6338A"/>
    <w:rPr>
      <w:i/>
      <w:iCs/>
      <w:color w:val="404040" w:themeColor="text1" w:themeTint="BF"/>
    </w:rPr>
  </w:style>
  <w:style w:type="paragraph" w:styleId="ListParagraph">
    <w:name w:val="List Paragraph"/>
    <w:basedOn w:val="Normal"/>
    <w:uiPriority w:val="34"/>
    <w:qFormat/>
    <w:rsid w:val="00B6338A"/>
    <w:pPr>
      <w:ind w:left="720"/>
      <w:contextualSpacing/>
    </w:pPr>
  </w:style>
  <w:style w:type="character" w:styleId="IntenseEmphasis">
    <w:name w:val="Intense Emphasis"/>
    <w:basedOn w:val="DefaultParagraphFont"/>
    <w:uiPriority w:val="21"/>
    <w:qFormat/>
    <w:rsid w:val="00B6338A"/>
    <w:rPr>
      <w:i/>
      <w:iCs/>
      <w:color w:val="0F4761" w:themeColor="accent1" w:themeShade="BF"/>
    </w:rPr>
  </w:style>
  <w:style w:type="paragraph" w:styleId="IntenseQuote">
    <w:name w:val="Intense Quote"/>
    <w:basedOn w:val="Normal"/>
    <w:next w:val="Normal"/>
    <w:link w:val="IntenseQuoteChar"/>
    <w:uiPriority w:val="30"/>
    <w:qFormat/>
    <w:rsid w:val="00B633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338A"/>
    <w:rPr>
      <w:i/>
      <w:iCs/>
      <w:color w:val="0F4761" w:themeColor="accent1" w:themeShade="BF"/>
    </w:rPr>
  </w:style>
  <w:style w:type="character" w:styleId="IntenseReference">
    <w:name w:val="Intense Reference"/>
    <w:basedOn w:val="DefaultParagraphFont"/>
    <w:uiPriority w:val="32"/>
    <w:qFormat/>
    <w:rsid w:val="00B6338A"/>
    <w:rPr>
      <w:b/>
      <w:bCs/>
      <w:smallCaps/>
      <w:color w:val="0F4761" w:themeColor="accent1" w:themeShade="BF"/>
      <w:spacing w:val="5"/>
    </w:rPr>
  </w:style>
  <w:style w:type="paragraph" w:styleId="FootnoteText">
    <w:name w:val="footnote text"/>
    <w:basedOn w:val="Normal"/>
    <w:link w:val="FootnoteTextChar"/>
    <w:uiPriority w:val="99"/>
    <w:unhideWhenUsed/>
    <w:rsid w:val="00A521FB"/>
    <w:pPr>
      <w:spacing w:after="0" w:line="240" w:lineRule="auto"/>
    </w:pPr>
    <w:rPr>
      <w:sz w:val="20"/>
      <w:szCs w:val="20"/>
    </w:rPr>
  </w:style>
  <w:style w:type="character" w:customStyle="1" w:styleId="FootnoteTextChar">
    <w:name w:val="Footnote Text Char"/>
    <w:basedOn w:val="DefaultParagraphFont"/>
    <w:link w:val="FootnoteText"/>
    <w:uiPriority w:val="99"/>
    <w:rsid w:val="00A521FB"/>
    <w:rPr>
      <w:sz w:val="20"/>
      <w:szCs w:val="20"/>
    </w:rPr>
  </w:style>
  <w:style w:type="character" w:styleId="FootnoteReference">
    <w:name w:val="footnote reference"/>
    <w:basedOn w:val="DefaultParagraphFont"/>
    <w:uiPriority w:val="99"/>
    <w:semiHidden/>
    <w:unhideWhenUsed/>
    <w:rsid w:val="00A521FB"/>
    <w:rPr>
      <w:vertAlign w:val="superscript"/>
    </w:rPr>
  </w:style>
  <w:style w:type="paragraph" w:customStyle="1" w:styleId="EndNoteBibliographyTitle">
    <w:name w:val="EndNote Bibliography Title"/>
    <w:basedOn w:val="Normal"/>
    <w:link w:val="EndNoteBibliographyTitleChar"/>
    <w:rsid w:val="00B64087"/>
    <w:pPr>
      <w:spacing w:after="0"/>
      <w:jc w:val="center"/>
    </w:pPr>
    <w:rPr>
      <w:rFonts w:ascii="Aptos" w:hAnsi="Aptos"/>
      <w:noProof/>
      <w:lang w:val="en-US"/>
    </w:rPr>
  </w:style>
  <w:style w:type="character" w:customStyle="1" w:styleId="EndNoteBibliographyTitleChar">
    <w:name w:val="EndNote Bibliography Title Char"/>
    <w:basedOn w:val="DefaultParagraphFont"/>
    <w:link w:val="EndNoteBibliographyTitle"/>
    <w:rsid w:val="00B64087"/>
    <w:rPr>
      <w:rFonts w:ascii="Aptos" w:hAnsi="Aptos"/>
      <w:noProof/>
      <w:lang w:val="en-US"/>
    </w:rPr>
  </w:style>
  <w:style w:type="paragraph" w:customStyle="1" w:styleId="EndNoteBibliography">
    <w:name w:val="EndNote Bibliography"/>
    <w:basedOn w:val="Normal"/>
    <w:link w:val="EndNoteBibliographyChar"/>
    <w:rsid w:val="00B64087"/>
    <w:pPr>
      <w:spacing w:line="240" w:lineRule="auto"/>
    </w:pPr>
    <w:rPr>
      <w:rFonts w:ascii="Aptos" w:hAnsi="Aptos"/>
      <w:noProof/>
      <w:lang w:val="en-US"/>
    </w:rPr>
  </w:style>
  <w:style w:type="character" w:customStyle="1" w:styleId="EndNoteBibliographyChar">
    <w:name w:val="EndNote Bibliography Char"/>
    <w:basedOn w:val="DefaultParagraphFont"/>
    <w:link w:val="EndNoteBibliography"/>
    <w:rsid w:val="00B64087"/>
    <w:rPr>
      <w:rFonts w:ascii="Aptos" w:hAnsi="Aptos"/>
      <w:noProof/>
      <w:lang w:val="en-US"/>
    </w:rPr>
  </w:style>
  <w:style w:type="character" w:styleId="Hyperlink">
    <w:name w:val="Hyperlink"/>
    <w:basedOn w:val="DefaultParagraphFont"/>
    <w:uiPriority w:val="99"/>
    <w:unhideWhenUsed/>
    <w:rsid w:val="00B64087"/>
    <w:rPr>
      <w:color w:val="467886" w:themeColor="hyperlink"/>
      <w:u w:val="single"/>
    </w:rPr>
  </w:style>
  <w:style w:type="character" w:styleId="UnresolvedMention">
    <w:name w:val="Unresolved Mention"/>
    <w:basedOn w:val="DefaultParagraphFont"/>
    <w:uiPriority w:val="99"/>
    <w:semiHidden/>
    <w:unhideWhenUsed/>
    <w:rsid w:val="00B64087"/>
    <w:rPr>
      <w:color w:val="605E5C"/>
      <w:shd w:val="clear" w:color="auto" w:fill="E1DFDD"/>
    </w:rPr>
  </w:style>
  <w:style w:type="character" w:styleId="FollowedHyperlink">
    <w:name w:val="FollowedHyperlink"/>
    <w:basedOn w:val="DefaultParagraphFont"/>
    <w:uiPriority w:val="99"/>
    <w:semiHidden/>
    <w:unhideWhenUsed/>
    <w:rsid w:val="000E0475"/>
    <w:rPr>
      <w:color w:val="96607D" w:themeColor="followedHyperlink"/>
      <w:u w:val="single"/>
    </w:rPr>
  </w:style>
  <w:style w:type="table" w:styleId="TableGrid">
    <w:name w:val="Table Grid"/>
    <w:basedOn w:val="TableNormal"/>
    <w:uiPriority w:val="39"/>
    <w:rsid w:val="00372C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60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038"/>
  </w:style>
  <w:style w:type="paragraph" w:styleId="Footer">
    <w:name w:val="footer"/>
    <w:basedOn w:val="Normal"/>
    <w:link w:val="FooterChar"/>
    <w:uiPriority w:val="99"/>
    <w:unhideWhenUsed/>
    <w:rsid w:val="007960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038"/>
  </w:style>
  <w:style w:type="paragraph" w:styleId="TOCHeading">
    <w:name w:val="TOC Heading"/>
    <w:basedOn w:val="Heading1"/>
    <w:next w:val="Normal"/>
    <w:uiPriority w:val="39"/>
    <w:unhideWhenUsed/>
    <w:qFormat/>
    <w:rsid w:val="00176D60"/>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176D60"/>
    <w:pPr>
      <w:spacing w:after="100"/>
      <w:ind w:left="220"/>
    </w:pPr>
  </w:style>
  <w:style w:type="paragraph" w:styleId="TOC3">
    <w:name w:val="toc 3"/>
    <w:basedOn w:val="Normal"/>
    <w:next w:val="Normal"/>
    <w:autoRedefine/>
    <w:uiPriority w:val="39"/>
    <w:unhideWhenUsed/>
    <w:rsid w:val="00176D60"/>
    <w:pPr>
      <w:spacing w:after="100"/>
      <w:ind w:left="440"/>
    </w:pPr>
  </w:style>
  <w:style w:type="paragraph" w:customStyle="1" w:styleId="Pa7">
    <w:name w:val="Pa7"/>
    <w:basedOn w:val="Normal"/>
    <w:next w:val="Normal"/>
    <w:uiPriority w:val="99"/>
    <w:rsid w:val="00CC58C4"/>
    <w:pPr>
      <w:autoSpaceDE w:val="0"/>
      <w:autoSpaceDN w:val="0"/>
      <w:adjustRightInd w:val="0"/>
      <w:spacing w:after="0" w:line="241" w:lineRule="atLeast"/>
    </w:pPr>
    <w:rPr>
      <w:rFonts w:ascii="Proxima Nova" w:hAnsi="Proxima Nova"/>
      <w:kern w:val="0"/>
      <w:sz w:val="24"/>
      <w:szCs w:val="24"/>
    </w:rPr>
  </w:style>
  <w:style w:type="character" w:styleId="CommentReference">
    <w:name w:val="annotation reference"/>
    <w:basedOn w:val="DefaultParagraphFont"/>
    <w:uiPriority w:val="99"/>
    <w:semiHidden/>
    <w:unhideWhenUsed/>
    <w:rsid w:val="00770813"/>
    <w:rPr>
      <w:sz w:val="16"/>
      <w:szCs w:val="16"/>
    </w:rPr>
  </w:style>
  <w:style w:type="paragraph" w:styleId="CommentText">
    <w:name w:val="annotation text"/>
    <w:basedOn w:val="Normal"/>
    <w:link w:val="CommentTextChar"/>
    <w:uiPriority w:val="99"/>
    <w:unhideWhenUsed/>
    <w:rsid w:val="00770813"/>
    <w:pPr>
      <w:spacing w:line="240" w:lineRule="auto"/>
    </w:pPr>
    <w:rPr>
      <w:sz w:val="20"/>
      <w:szCs w:val="20"/>
    </w:rPr>
  </w:style>
  <w:style w:type="character" w:customStyle="1" w:styleId="CommentTextChar">
    <w:name w:val="Comment Text Char"/>
    <w:basedOn w:val="DefaultParagraphFont"/>
    <w:link w:val="CommentText"/>
    <w:uiPriority w:val="99"/>
    <w:rsid w:val="00770813"/>
    <w:rPr>
      <w:sz w:val="20"/>
      <w:szCs w:val="20"/>
    </w:rPr>
  </w:style>
  <w:style w:type="paragraph" w:styleId="CommentSubject">
    <w:name w:val="annotation subject"/>
    <w:basedOn w:val="CommentText"/>
    <w:next w:val="CommentText"/>
    <w:link w:val="CommentSubjectChar"/>
    <w:uiPriority w:val="99"/>
    <w:semiHidden/>
    <w:unhideWhenUsed/>
    <w:rsid w:val="00770813"/>
    <w:rPr>
      <w:b/>
      <w:bCs/>
    </w:rPr>
  </w:style>
  <w:style w:type="character" w:customStyle="1" w:styleId="CommentSubjectChar">
    <w:name w:val="Comment Subject Char"/>
    <w:basedOn w:val="CommentTextChar"/>
    <w:link w:val="CommentSubject"/>
    <w:uiPriority w:val="99"/>
    <w:semiHidden/>
    <w:rsid w:val="00770813"/>
    <w:rPr>
      <w:b/>
      <w:bCs/>
      <w:sz w:val="20"/>
      <w:szCs w:val="20"/>
    </w:rPr>
  </w:style>
  <w:style w:type="paragraph" w:styleId="Revision">
    <w:name w:val="Revision"/>
    <w:hidden/>
    <w:uiPriority w:val="99"/>
    <w:semiHidden/>
    <w:rsid w:val="002A66A0"/>
    <w:pPr>
      <w:spacing w:after="0" w:line="240" w:lineRule="auto"/>
    </w:pPr>
  </w:style>
  <w:style w:type="paragraph" w:styleId="NormalWeb">
    <w:name w:val="Normal (Web)"/>
    <w:basedOn w:val="Normal"/>
    <w:uiPriority w:val="99"/>
    <w:semiHidden/>
    <w:unhideWhenUsed/>
    <w:rsid w:val="0019202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95489">
      <w:bodyDiv w:val="1"/>
      <w:marLeft w:val="0"/>
      <w:marRight w:val="0"/>
      <w:marTop w:val="0"/>
      <w:marBottom w:val="0"/>
      <w:divBdr>
        <w:top w:val="none" w:sz="0" w:space="0" w:color="auto"/>
        <w:left w:val="none" w:sz="0" w:space="0" w:color="auto"/>
        <w:bottom w:val="none" w:sz="0" w:space="0" w:color="auto"/>
        <w:right w:val="none" w:sz="0" w:space="0" w:color="auto"/>
      </w:divBdr>
    </w:div>
    <w:div w:id="23211793">
      <w:bodyDiv w:val="1"/>
      <w:marLeft w:val="0"/>
      <w:marRight w:val="0"/>
      <w:marTop w:val="0"/>
      <w:marBottom w:val="0"/>
      <w:divBdr>
        <w:top w:val="none" w:sz="0" w:space="0" w:color="auto"/>
        <w:left w:val="none" w:sz="0" w:space="0" w:color="auto"/>
        <w:bottom w:val="none" w:sz="0" w:space="0" w:color="auto"/>
        <w:right w:val="none" w:sz="0" w:space="0" w:color="auto"/>
      </w:divBdr>
    </w:div>
    <w:div w:id="27730214">
      <w:bodyDiv w:val="1"/>
      <w:marLeft w:val="0"/>
      <w:marRight w:val="0"/>
      <w:marTop w:val="0"/>
      <w:marBottom w:val="0"/>
      <w:divBdr>
        <w:top w:val="none" w:sz="0" w:space="0" w:color="auto"/>
        <w:left w:val="none" w:sz="0" w:space="0" w:color="auto"/>
        <w:bottom w:val="none" w:sz="0" w:space="0" w:color="auto"/>
        <w:right w:val="none" w:sz="0" w:space="0" w:color="auto"/>
      </w:divBdr>
      <w:divsChild>
        <w:div w:id="120349356">
          <w:marLeft w:val="0"/>
          <w:marRight w:val="0"/>
          <w:marTop w:val="0"/>
          <w:marBottom w:val="0"/>
          <w:divBdr>
            <w:top w:val="none" w:sz="0" w:space="0" w:color="auto"/>
            <w:left w:val="none" w:sz="0" w:space="0" w:color="auto"/>
            <w:bottom w:val="none" w:sz="0" w:space="0" w:color="auto"/>
            <w:right w:val="none" w:sz="0" w:space="0" w:color="auto"/>
          </w:divBdr>
          <w:divsChild>
            <w:div w:id="2047369516">
              <w:marLeft w:val="0"/>
              <w:marRight w:val="0"/>
              <w:marTop w:val="0"/>
              <w:marBottom w:val="0"/>
              <w:divBdr>
                <w:top w:val="none" w:sz="0" w:space="0" w:color="auto"/>
                <w:left w:val="none" w:sz="0" w:space="0" w:color="auto"/>
                <w:bottom w:val="none" w:sz="0" w:space="0" w:color="auto"/>
                <w:right w:val="none" w:sz="0" w:space="0" w:color="auto"/>
              </w:divBdr>
              <w:divsChild>
                <w:div w:id="258875234">
                  <w:marLeft w:val="0"/>
                  <w:marRight w:val="0"/>
                  <w:marTop w:val="0"/>
                  <w:marBottom w:val="0"/>
                  <w:divBdr>
                    <w:top w:val="none" w:sz="0" w:space="0" w:color="auto"/>
                    <w:left w:val="none" w:sz="0" w:space="0" w:color="auto"/>
                    <w:bottom w:val="none" w:sz="0" w:space="0" w:color="auto"/>
                    <w:right w:val="none" w:sz="0" w:space="0" w:color="auto"/>
                  </w:divBdr>
                  <w:divsChild>
                    <w:div w:id="1072697913">
                      <w:marLeft w:val="0"/>
                      <w:marRight w:val="0"/>
                      <w:marTop w:val="0"/>
                      <w:marBottom w:val="0"/>
                      <w:divBdr>
                        <w:top w:val="none" w:sz="0" w:space="0" w:color="auto"/>
                        <w:left w:val="none" w:sz="0" w:space="0" w:color="auto"/>
                        <w:bottom w:val="none" w:sz="0" w:space="0" w:color="auto"/>
                        <w:right w:val="none" w:sz="0" w:space="0" w:color="auto"/>
                      </w:divBdr>
                      <w:divsChild>
                        <w:div w:id="1763910386">
                          <w:marLeft w:val="0"/>
                          <w:marRight w:val="0"/>
                          <w:marTop w:val="0"/>
                          <w:marBottom w:val="0"/>
                          <w:divBdr>
                            <w:top w:val="none" w:sz="0" w:space="0" w:color="auto"/>
                            <w:left w:val="none" w:sz="0" w:space="0" w:color="auto"/>
                            <w:bottom w:val="none" w:sz="0" w:space="0" w:color="auto"/>
                            <w:right w:val="none" w:sz="0" w:space="0" w:color="auto"/>
                          </w:divBdr>
                          <w:divsChild>
                            <w:div w:id="2131899308">
                              <w:marLeft w:val="0"/>
                              <w:marRight w:val="0"/>
                              <w:marTop w:val="0"/>
                              <w:marBottom w:val="0"/>
                              <w:divBdr>
                                <w:top w:val="none" w:sz="0" w:space="0" w:color="auto"/>
                                <w:left w:val="none" w:sz="0" w:space="0" w:color="auto"/>
                                <w:bottom w:val="none" w:sz="0" w:space="0" w:color="auto"/>
                                <w:right w:val="none" w:sz="0" w:space="0" w:color="auto"/>
                              </w:divBdr>
                              <w:divsChild>
                                <w:div w:id="768162790">
                                  <w:marLeft w:val="-240"/>
                                  <w:marRight w:val="-120"/>
                                  <w:marTop w:val="0"/>
                                  <w:marBottom w:val="0"/>
                                  <w:divBdr>
                                    <w:top w:val="none" w:sz="0" w:space="0" w:color="auto"/>
                                    <w:left w:val="none" w:sz="0" w:space="0" w:color="auto"/>
                                    <w:bottom w:val="none" w:sz="0" w:space="0" w:color="auto"/>
                                    <w:right w:val="none" w:sz="0" w:space="0" w:color="auto"/>
                                  </w:divBdr>
                                  <w:divsChild>
                                    <w:div w:id="1743602944">
                                      <w:marLeft w:val="0"/>
                                      <w:marRight w:val="0"/>
                                      <w:marTop w:val="0"/>
                                      <w:marBottom w:val="60"/>
                                      <w:divBdr>
                                        <w:top w:val="none" w:sz="0" w:space="0" w:color="auto"/>
                                        <w:left w:val="none" w:sz="0" w:space="0" w:color="auto"/>
                                        <w:bottom w:val="none" w:sz="0" w:space="0" w:color="auto"/>
                                        <w:right w:val="none" w:sz="0" w:space="0" w:color="auto"/>
                                      </w:divBdr>
                                      <w:divsChild>
                                        <w:div w:id="397751976">
                                          <w:marLeft w:val="0"/>
                                          <w:marRight w:val="0"/>
                                          <w:marTop w:val="0"/>
                                          <w:marBottom w:val="0"/>
                                          <w:divBdr>
                                            <w:top w:val="none" w:sz="0" w:space="0" w:color="auto"/>
                                            <w:left w:val="none" w:sz="0" w:space="0" w:color="auto"/>
                                            <w:bottom w:val="none" w:sz="0" w:space="0" w:color="auto"/>
                                            <w:right w:val="none" w:sz="0" w:space="0" w:color="auto"/>
                                          </w:divBdr>
                                          <w:divsChild>
                                            <w:div w:id="1220550952">
                                              <w:marLeft w:val="0"/>
                                              <w:marRight w:val="0"/>
                                              <w:marTop w:val="0"/>
                                              <w:marBottom w:val="0"/>
                                              <w:divBdr>
                                                <w:top w:val="none" w:sz="0" w:space="0" w:color="auto"/>
                                                <w:left w:val="none" w:sz="0" w:space="0" w:color="auto"/>
                                                <w:bottom w:val="none" w:sz="0" w:space="0" w:color="auto"/>
                                                <w:right w:val="none" w:sz="0" w:space="0" w:color="auto"/>
                                              </w:divBdr>
                                              <w:divsChild>
                                                <w:div w:id="364449218">
                                                  <w:marLeft w:val="0"/>
                                                  <w:marRight w:val="0"/>
                                                  <w:marTop w:val="0"/>
                                                  <w:marBottom w:val="0"/>
                                                  <w:divBdr>
                                                    <w:top w:val="none" w:sz="0" w:space="0" w:color="auto"/>
                                                    <w:left w:val="none" w:sz="0" w:space="0" w:color="auto"/>
                                                    <w:bottom w:val="none" w:sz="0" w:space="0" w:color="auto"/>
                                                    <w:right w:val="none" w:sz="0" w:space="0" w:color="auto"/>
                                                  </w:divBdr>
                                                  <w:divsChild>
                                                    <w:div w:id="75092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7316290">
      <w:bodyDiv w:val="1"/>
      <w:marLeft w:val="0"/>
      <w:marRight w:val="0"/>
      <w:marTop w:val="0"/>
      <w:marBottom w:val="0"/>
      <w:divBdr>
        <w:top w:val="none" w:sz="0" w:space="0" w:color="auto"/>
        <w:left w:val="none" w:sz="0" w:space="0" w:color="auto"/>
        <w:bottom w:val="none" w:sz="0" w:space="0" w:color="auto"/>
        <w:right w:val="none" w:sz="0" w:space="0" w:color="auto"/>
      </w:divBdr>
    </w:div>
    <w:div w:id="64105518">
      <w:bodyDiv w:val="1"/>
      <w:marLeft w:val="0"/>
      <w:marRight w:val="0"/>
      <w:marTop w:val="0"/>
      <w:marBottom w:val="0"/>
      <w:divBdr>
        <w:top w:val="none" w:sz="0" w:space="0" w:color="auto"/>
        <w:left w:val="none" w:sz="0" w:space="0" w:color="auto"/>
        <w:bottom w:val="none" w:sz="0" w:space="0" w:color="auto"/>
        <w:right w:val="none" w:sz="0" w:space="0" w:color="auto"/>
      </w:divBdr>
    </w:div>
    <w:div w:id="75900747">
      <w:bodyDiv w:val="1"/>
      <w:marLeft w:val="0"/>
      <w:marRight w:val="0"/>
      <w:marTop w:val="0"/>
      <w:marBottom w:val="0"/>
      <w:divBdr>
        <w:top w:val="none" w:sz="0" w:space="0" w:color="auto"/>
        <w:left w:val="none" w:sz="0" w:space="0" w:color="auto"/>
        <w:bottom w:val="none" w:sz="0" w:space="0" w:color="auto"/>
        <w:right w:val="none" w:sz="0" w:space="0" w:color="auto"/>
      </w:divBdr>
    </w:div>
    <w:div w:id="124811262">
      <w:bodyDiv w:val="1"/>
      <w:marLeft w:val="0"/>
      <w:marRight w:val="0"/>
      <w:marTop w:val="0"/>
      <w:marBottom w:val="0"/>
      <w:divBdr>
        <w:top w:val="none" w:sz="0" w:space="0" w:color="auto"/>
        <w:left w:val="none" w:sz="0" w:space="0" w:color="auto"/>
        <w:bottom w:val="none" w:sz="0" w:space="0" w:color="auto"/>
        <w:right w:val="none" w:sz="0" w:space="0" w:color="auto"/>
      </w:divBdr>
    </w:div>
    <w:div w:id="151678900">
      <w:bodyDiv w:val="1"/>
      <w:marLeft w:val="0"/>
      <w:marRight w:val="0"/>
      <w:marTop w:val="0"/>
      <w:marBottom w:val="0"/>
      <w:divBdr>
        <w:top w:val="none" w:sz="0" w:space="0" w:color="auto"/>
        <w:left w:val="none" w:sz="0" w:space="0" w:color="auto"/>
        <w:bottom w:val="none" w:sz="0" w:space="0" w:color="auto"/>
        <w:right w:val="none" w:sz="0" w:space="0" w:color="auto"/>
      </w:divBdr>
    </w:div>
    <w:div w:id="166138339">
      <w:bodyDiv w:val="1"/>
      <w:marLeft w:val="0"/>
      <w:marRight w:val="0"/>
      <w:marTop w:val="0"/>
      <w:marBottom w:val="0"/>
      <w:divBdr>
        <w:top w:val="none" w:sz="0" w:space="0" w:color="auto"/>
        <w:left w:val="none" w:sz="0" w:space="0" w:color="auto"/>
        <w:bottom w:val="none" w:sz="0" w:space="0" w:color="auto"/>
        <w:right w:val="none" w:sz="0" w:space="0" w:color="auto"/>
      </w:divBdr>
    </w:div>
    <w:div w:id="191504463">
      <w:bodyDiv w:val="1"/>
      <w:marLeft w:val="0"/>
      <w:marRight w:val="0"/>
      <w:marTop w:val="0"/>
      <w:marBottom w:val="0"/>
      <w:divBdr>
        <w:top w:val="none" w:sz="0" w:space="0" w:color="auto"/>
        <w:left w:val="none" w:sz="0" w:space="0" w:color="auto"/>
        <w:bottom w:val="none" w:sz="0" w:space="0" w:color="auto"/>
        <w:right w:val="none" w:sz="0" w:space="0" w:color="auto"/>
      </w:divBdr>
      <w:divsChild>
        <w:div w:id="1328558780">
          <w:marLeft w:val="0"/>
          <w:marRight w:val="0"/>
          <w:marTop w:val="0"/>
          <w:marBottom w:val="0"/>
          <w:divBdr>
            <w:top w:val="none" w:sz="0" w:space="0" w:color="auto"/>
            <w:left w:val="none" w:sz="0" w:space="0" w:color="auto"/>
            <w:bottom w:val="none" w:sz="0" w:space="0" w:color="auto"/>
            <w:right w:val="none" w:sz="0" w:space="0" w:color="auto"/>
          </w:divBdr>
          <w:divsChild>
            <w:div w:id="1849514829">
              <w:marLeft w:val="0"/>
              <w:marRight w:val="0"/>
              <w:marTop w:val="0"/>
              <w:marBottom w:val="0"/>
              <w:divBdr>
                <w:top w:val="none" w:sz="0" w:space="0" w:color="auto"/>
                <w:left w:val="none" w:sz="0" w:space="0" w:color="auto"/>
                <w:bottom w:val="none" w:sz="0" w:space="0" w:color="auto"/>
                <w:right w:val="none" w:sz="0" w:space="0" w:color="auto"/>
              </w:divBdr>
              <w:divsChild>
                <w:div w:id="1675112501">
                  <w:marLeft w:val="0"/>
                  <w:marRight w:val="0"/>
                  <w:marTop w:val="0"/>
                  <w:marBottom w:val="0"/>
                  <w:divBdr>
                    <w:top w:val="none" w:sz="0" w:space="0" w:color="auto"/>
                    <w:left w:val="none" w:sz="0" w:space="0" w:color="auto"/>
                    <w:bottom w:val="none" w:sz="0" w:space="0" w:color="auto"/>
                    <w:right w:val="none" w:sz="0" w:space="0" w:color="auto"/>
                  </w:divBdr>
                  <w:divsChild>
                    <w:div w:id="2106530347">
                      <w:marLeft w:val="0"/>
                      <w:marRight w:val="0"/>
                      <w:marTop w:val="0"/>
                      <w:marBottom w:val="0"/>
                      <w:divBdr>
                        <w:top w:val="none" w:sz="0" w:space="0" w:color="auto"/>
                        <w:left w:val="none" w:sz="0" w:space="0" w:color="auto"/>
                        <w:bottom w:val="none" w:sz="0" w:space="0" w:color="auto"/>
                        <w:right w:val="none" w:sz="0" w:space="0" w:color="auto"/>
                      </w:divBdr>
                      <w:divsChild>
                        <w:div w:id="659238962">
                          <w:marLeft w:val="0"/>
                          <w:marRight w:val="0"/>
                          <w:marTop w:val="0"/>
                          <w:marBottom w:val="0"/>
                          <w:divBdr>
                            <w:top w:val="none" w:sz="0" w:space="0" w:color="auto"/>
                            <w:left w:val="none" w:sz="0" w:space="0" w:color="auto"/>
                            <w:bottom w:val="none" w:sz="0" w:space="0" w:color="auto"/>
                            <w:right w:val="none" w:sz="0" w:space="0" w:color="auto"/>
                          </w:divBdr>
                          <w:divsChild>
                            <w:div w:id="1259633453">
                              <w:marLeft w:val="0"/>
                              <w:marRight w:val="0"/>
                              <w:marTop w:val="0"/>
                              <w:marBottom w:val="0"/>
                              <w:divBdr>
                                <w:top w:val="none" w:sz="0" w:space="0" w:color="auto"/>
                                <w:left w:val="none" w:sz="0" w:space="0" w:color="auto"/>
                                <w:bottom w:val="none" w:sz="0" w:space="0" w:color="auto"/>
                                <w:right w:val="none" w:sz="0" w:space="0" w:color="auto"/>
                              </w:divBdr>
                              <w:divsChild>
                                <w:div w:id="660932497">
                                  <w:marLeft w:val="-240"/>
                                  <w:marRight w:val="-120"/>
                                  <w:marTop w:val="0"/>
                                  <w:marBottom w:val="0"/>
                                  <w:divBdr>
                                    <w:top w:val="none" w:sz="0" w:space="0" w:color="auto"/>
                                    <w:left w:val="none" w:sz="0" w:space="0" w:color="auto"/>
                                    <w:bottom w:val="none" w:sz="0" w:space="0" w:color="auto"/>
                                    <w:right w:val="none" w:sz="0" w:space="0" w:color="auto"/>
                                  </w:divBdr>
                                  <w:divsChild>
                                    <w:div w:id="167447363">
                                      <w:marLeft w:val="0"/>
                                      <w:marRight w:val="0"/>
                                      <w:marTop w:val="0"/>
                                      <w:marBottom w:val="60"/>
                                      <w:divBdr>
                                        <w:top w:val="none" w:sz="0" w:space="0" w:color="auto"/>
                                        <w:left w:val="none" w:sz="0" w:space="0" w:color="auto"/>
                                        <w:bottom w:val="none" w:sz="0" w:space="0" w:color="auto"/>
                                        <w:right w:val="none" w:sz="0" w:space="0" w:color="auto"/>
                                      </w:divBdr>
                                      <w:divsChild>
                                        <w:div w:id="404034875">
                                          <w:marLeft w:val="0"/>
                                          <w:marRight w:val="0"/>
                                          <w:marTop w:val="0"/>
                                          <w:marBottom w:val="0"/>
                                          <w:divBdr>
                                            <w:top w:val="none" w:sz="0" w:space="0" w:color="auto"/>
                                            <w:left w:val="none" w:sz="0" w:space="0" w:color="auto"/>
                                            <w:bottom w:val="none" w:sz="0" w:space="0" w:color="auto"/>
                                            <w:right w:val="none" w:sz="0" w:space="0" w:color="auto"/>
                                          </w:divBdr>
                                          <w:divsChild>
                                            <w:div w:id="2011519503">
                                              <w:marLeft w:val="0"/>
                                              <w:marRight w:val="0"/>
                                              <w:marTop w:val="0"/>
                                              <w:marBottom w:val="0"/>
                                              <w:divBdr>
                                                <w:top w:val="none" w:sz="0" w:space="0" w:color="auto"/>
                                                <w:left w:val="none" w:sz="0" w:space="0" w:color="auto"/>
                                                <w:bottom w:val="none" w:sz="0" w:space="0" w:color="auto"/>
                                                <w:right w:val="none" w:sz="0" w:space="0" w:color="auto"/>
                                              </w:divBdr>
                                              <w:divsChild>
                                                <w:div w:id="2013412820">
                                                  <w:marLeft w:val="0"/>
                                                  <w:marRight w:val="0"/>
                                                  <w:marTop w:val="0"/>
                                                  <w:marBottom w:val="0"/>
                                                  <w:divBdr>
                                                    <w:top w:val="none" w:sz="0" w:space="0" w:color="auto"/>
                                                    <w:left w:val="none" w:sz="0" w:space="0" w:color="auto"/>
                                                    <w:bottom w:val="none" w:sz="0" w:space="0" w:color="auto"/>
                                                    <w:right w:val="none" w:sz="0" w:space="0" w:color="auto"/>
                                                  </w:divBdr>
                                                  <w:divsChild>
                                                    <w:div w:id="43005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789746">
      <w:bodyDiv w:val="1"/>
      <w:marLeft w:val="0"/>
      <w:marRight w:val="0"/>
      <w:marTop w:val="0"/>
      <w:marBottom w:val="0"/>
      <w:divBdr>
        <w:top w:val="none" w:sz="0" w:space="0" w:color="auto"/>
        <w:left w:val="none" w:sz="0" w:space="0" w:color="auto"/>
        <w:bottom w:val="none" w:sz="0" w:space="0" w:color="auto"/>
        <w:right w:val="none" w:sz="0" w:space="0" w:color="auto"/>
      </w:divBdr>
    </w:div>
    <w:div w:id="243955684">
      <w:bodyDiv w:val="1"/>
      <w:marLeft w:val="0"/>
      <w:marRight w:val="0"/>
      <w:marTop w:val="0"/>
      <w:marBottom w:val="0"/>
      <w:divBdr>
        <w:top w:val="none" w:sz="0" w:space="0" w:color="auto"/>
        <w:left w:val="none" w:sz="0" w:space="0" w:color="auto"/>
        <w:bottom w:val="none" w:sz="0" w:space="0" w:color="auto"/>
        <w:right w:val="none" w:sz="0" w:space="0" w:color="auto"/>
      </w:divBdr>
    </w:div>
    <w:div w:id="256181709">
      <w:bodyDiv w:val="1"/>
      <w:marLeft w:val="0"/>
      <w:marRight w:val="0"/>
      <w:marTop w:val="0"/>
      <w:marBottom w:val="0"/>
      <w:divBdr>
        <w:top w:val="none" w:sz="0" w:space="0" w:color="auto"/>
        <w:left w:val="none" w:sz="0" w:space="0" w:color="auto"/>
        <w:bottom w:val="none" w:sz="0" w:space="0" w:color="auto"/>
        <w:right w:val="none" w:sz="0" w:space="0" w:color="auto"/>
      </w:divBdr>
    </w:div>
    <w:div w:id="263196588">
      <w:bodyDiv w:val="1"/>
      <w:marLeft w:val="0"/>
      <w:marRight w:val="0"/>
      <w:marTop w:val="0"/>
      <w:marBottom w:val="0"/>
      <w:divBdr>
        <w:top w:val="none" w:sz="0" w:space="0" w:color="auto"/>
        <w:left w:val="none" w:sz="0" w:space="0" w:color="auto"/>
        <w:bottom w:val="none" w:sz="0" w:space="0" w:color="auto"/>
        <w:right w:val="none" w:sz="0" w:space="0" w:color="auto"/>
      </w:divBdr>
    </w:div>
    <w:div w:id="287054786">
      <w:bodyDiv w:val="1"/>
      <w:marLeft w:val="0"/>
      <w:marRight w:val="0"/>
      <w:marTop w:val="0"/>
      <w:marBottom w:val="0"/>
      <w:divBdr>
        <w:top w:val="none" w:sz="0" w:space="0" w:color="auto"/>
        <w:left w:val="none" w:sz="0" w:space="0" w:color="auto"/>
        <w:bottom w:val="none" w:sz="0" w:space="0" w:color="auto"/>
        <w:right w:val="none" w:sz="0" w:space="0" w:color="auto"/>
      </w:divBdr>
    </w:div>
    <w:div w:id="309871805">
      <w:bodyDiv w:val="1"/>
      <w:marLeft w:val="0"/>
      <w:marRight w:val="0"/>
      <w:marTop w:val="0"/>
      <w:marBottom w:val="0"/>
      <w:divBdr>
        <w:top w:val="none" w:sz="0" w:space="0" w:color="auto"/>
        <w:left w:val="none" w:sz="0" w:space="0" w:color="auto"/>
        <w:bottom w:val="none" w:sz="0" w:space="0" w:color="auto"/>
        <w:right w:val="none" w:sz="0" w:space="0" w:color="auto"/>
      </w:divBdr>
    </w:div>
    <w:div w:id="314603036">
      <w:bodyDiv w:val="1"/>
      <w:marLeft w:val="0"/>
      <w:marRight w:val="0"/>
      <w:marTop w:val="0"/>
      <w:marBottom w:val="0"/>
      <w:divBdr>
        <w:top w:val="none" w:sz="0" w:space="0" w:color="auto"/>
        <w:left w:val="none" w:sz="0" w:space="0" w:color="auto"/>
        <w:bottom w:val="none" w:sz="0" w:space="0" w:color="auto"/>
        <w:right w:val="none" w:sz="0" w:space="0" w:color="auto"/>
      </w:divBdr>
    </w:div>
    <w:div w:id="353962408">
      <w:bodyDiv w:val="1"/>
      <w:marLeft w:val="0"/>
      <w:marRight w:val="0"/>
      <w:marTop w:val="0"/>
      <w:marBottom w:val="0"/>
      <w:divBdr>
        <w:top w:val="none" w:sz="0" w:space="0" w:color="auto"/>
        <w:left w:val="none" w:sz="0" w:space="0" w:color="auto"/>
        <w:bottom w:val="none" w:sz="0" w:space="0" w:color="auto"/>
        <w:right w:val="none" w:sz="0" w:space="0" w:color="auto"/>
      </w:divBdr>
    </w:div>
    <w:div w:id="363485288">
      <w:bodyDiv w:val="1"/>
      <w:marLeft w:val="0"/>
      <w:marRight w:val="0"/>
      <w:marTop w:val="0"/>
      <w:marBottom w:val="0"/>
      <w:divBdr>
        <w:top w:val="none" w:sz="0" w:space="0" w:color="auto"/>
        <w:left w:val="none" w:sz="0" w:space="0" w:color="auto"/>
        <w:bottom w:val="none" w:sz="0" w:space="0" w:color="auto"/>
        <w:right w:val="none" w:sz="0" w:space="0" w:color="auto"/>
      </w:divBdr>
    </w:div>
    <w:div w:id="383215608">
      <w:bodyDiv w:val="1"/>
      <w:marLeft w:val="0"/>
      <w:marRight w:val="0"/>
      <w:marTop w:val="0"/>
      <w:marBottom w:val="0"/>
      <w:divBdr>
        <w:top w:val="none" w:sz="0" w:space="0" w:color="auto"/>
        <w:left w:val="none" w:sz="0" w:space="0" w:color="auto"/>
        <w:bottom w:val="none" w:sz="0" w:space="0" w:color="auto"/>
        <w:right w:val="none" w:sz="0" w:space="0" w:color="auto"/>
      </w:divBdr>
    </w:div>
    <w:div w:id="391395291">
      <w:bodyDiv w:val="1"/>
      <w:marLeft w:val="0"/>
      <w:marRight w:val="0"/>
      <w:marTop w:val="0"/>
      <w:marBottom w:val="0"/>
      <w:divBdr>
        <w:top w:val="none" w:sz="0" w:space="0" w:color="auto"/>
        <w:left w:val="none" w:sz="0" w:space="0" w:color="auto"/>
        <w:bottom w:val="none" w:sz="0" w:space="0" w:color="auto"/>
        <w:right w:val="none" w:sz="0" w:space="0" w:color="auto"/>
      </w:divBdr>
    </w:div>
    <w:div w:id="419523580">
      <w:bodyDiv w:val="1"/>
      <w:marLeft w:val="0"/>
      <w:marRight w:val="0"/>
      <w:marTop w:val="0"/>
      <w:marBottom w:val="0"/>
      <w:divBdr>
        <w:top w:val="none" w:sz="0" w:space="0" w:color="auto"/>
        <w:left w:val="none" w:sz="0" w:space="0" w:color="auto"/>
        <w:bottom w:val="none" w:sz="0" w:space="0" w:color="auto"/>
        <w:right w:val="none" w:sz="0" w:space="0" w:color="auto"/>
      </w:divBdr>
    </w:div>
    <w:div w:id="451215696">
      <w:bodyDiv w:val="1"/>
      <w:marLeft w:val="0"/>
      <w:marRight w:val="0"/>
      <w:marTop w:val="0"/>
      <w:marBottom w:val="0"/>
      <w:divBdr>
        <w:top w:val="none" w:sz="0" w:space="0" w:color="auto"/>
        <w:left w:val="none" w:sz="0" w:space="0" w:color="auto"/>
        <w:bottom w:val="none" w:sz="0" w:space="0" w:color="auto"/>
        <w:right w:val="none" w:sz="0" w:space="0" w:color="auto"/>
      </w:divBdr>
    </w:div>
    <w:div w:id="474567324">
      <w:bodyDiv w:val="1"/>
      <w:marLeft w:val="0"/>
      <w:marRight w:val="0"/>
      <w:marTop w:val="0"/>
      <w:marBottom w:val="0"/>
      <w:divBdr>
        <w:top w:val="none" w:sz="0" w:space="0" w:color="auto"/>
        <w:left w:val="none" w:sz="0" w:space="0" w:color="auto"/>
        <w:bottom w:val="none" w:sz="0" w:space="0" w:color="auto"/>
        <w:right w:val="none" w:sz="0" w:space="0" w:color="auto"/>
      </w:divBdr>
    </w:div>
    <w:div w:id="485514257">
      <w:bodyDiv w:val="1"/>
      <w:marLeft w:val="0"/>
      <w:marRight w:val="0"/>
      <w:marTop w:val="0"/>
      <w:marBottom w:val="0"/>
      <w:divBdr>
        <w:top w:val="none" w:sz="0" w:space="0" w:color="auto"/>
        <w:left w:val="none" w:sz="0" w:space="0" w:color="auto"/>
        <w:bottom w:val="none" w:sz="0" w:space="0" w:color="auto"/>
        <w:right w:val="none" w:sz="0" w:space="0" w:color="auto"/>
      </w:divBdr>
    </w:div>
    <w:div w:id="498807888">
      <w:bodyDiv w:val="1"/>
      <w:marLeft w:val="0"/>
      <w:marRight w:val="0"/>
      <w:marTop w:val="0"/>
      <w:marBottom w:val="0"/>
      <w:divBdr>
        <w:top w:val="none" w:sz="0" w:space="0" w:color="auto"/>
        <w:left w:val="none" w:sz="0" w:space="0" w:color="auto"/>
        <w:bottom w:val="none" w:sz="0" w:space="0" w:color="auto"/>
        <w:right w:val="none" w:sz="0" w:space="0" w:color="auto"/>
      </w:divBdr>
    </w:div>
    <w:div w:id="525485721">
      <w:bodyDiv w:val="1"/>
      <w:marLeft w:val="0"/>
      <w:marRight w:val="0"/>
      <w:marTop w:val="0"/>
      <w:marBottom w:val="0"/>
      <w:divBdr>
        <w:top w:val="none" w:sz="0" w:space="0" w:color="auto"/>
        <w:left w:val="none" w:sz="0" w:space="0" w:color="auto"/>
        <w:bottom w:val="none" w:sz="0" w:space="0" w:color="auto"/>
        <w:right w:val="none" w:sz="0" w:space="0" w:color="auto"/>
      </w:divBdr>
    </w:div>
    <w:div w:id="564030386">
      <w:bodyDiv w:val="1"/>
      <w:marLeft w:val="0"/>
      <w:marRight w:val="0"/>
      <w:marTop w:val="0"/>
      <w:marBottom w:val="0"/>
      <w:divBdr>
        <w:top w:val="none" w:sz="0" w:space="0" w:color="auto"/>
        <w:left w:val="none" w:sz="0" w:space="0" w:color="auto"/>
        <w:bottom w:val="none" w:sz="0" w:space="0" w:color="auto"/>
        <w:right w:val="none" w:sz="0" w:space="0" w:color="auto"/>
      </w:divBdr>
    </w:div>
    <w:div w:id="583034856">
      <w:bodyDiv w:val="1"/>
      <w:marLeft w:val="0"/>
      <w:marRight w:val="0"/>
      <w:marTop w:val="0"/>
      <w:marBottom w:val="0"/>
      <w:divBdr>
        <w:top w:val="none" w:sz="0" w:space="0" w:color="auto"/>
        <w:left w:val="none" w:sz="0" w:space="0" w:color="auto"/>
        <w:bottom w:val="none" w:sz="0" w:space="0" w:color="auto"/>
        <w:right w:val="none" w:sz="0" w:space="0" w:color="auto"/>
      </w:divBdr>
    </w:div>
    <w:div w:id="604650612">
      <w:bodyDiv w:val="1"/>
      <w:marLeft w:val="0"/>
      <w:marRight w:val="0"/>
      <w:marTop w:val="0"/>
      <w:marBottom w:val="0"/>
      <w:divBdr>
        <w:top w:val="none" w:sz="0" w:space="0" w:color="auto"/>
        <w:left w:val="none" w:sz="0" w:space="0" w:color="auto"/>
        <w:bottom w:val="none" w:sz="0" w:space="0" w:color="auto"/>
        <w:right w:val="none" w:sz="0" w:space="0" w:color="auto"/>
      </w:divBdr>
    </w:div>
    <w:div w:id="610863587">
      <w:bodyDiv w:val="1"/>
      <w:marLeft w:val="0"/>
      <w:marRight w:val="0"/>
      <w:marTop w:val="0"/>
      <w:marBottom w:val="0"/>
      <w:divBdr>
        <w:top w:val="none" w:sz="0" w:space="0" w:color="auto"/>
        <w:left w:val="none" w:sz="0" w:space="0" w:color="auto"/>
        <w:bottom w:val="none" w:sz="0" w:space="0" w:color="auto"/>
        <w:right w:val="none" w:sz="0" w:space="0" w:color="auto"/>
      </w:divBdr>
    </w:div>
    <w:div w:id="615410393">
      <w:bodyDiv w:val="1"/>
      <w:marLeft w:val="0"/>
      <w:marRight w:val="0"/>
      <w:marTop w:val="0"/>
      <w:marBottom w:val="0"/>
      <w:divBdr>
        <w:top w:val="none" w:sz="0" w:space="0" w:color="auto"/>
        <w:left w:val="none" w:sz="0" w:space="0" w:color="auto"/>
        <w:bottom w:val="none" w:sz="0" w:space="0" w:color="auto"/>
        <w:right w:val="none" w:sz="0" w:space="0" w:color="auto"/>
      </w:divBdr>
    </w:div>
    <w:div w:id="616106691">
      <w:bodyDiv w:val="1"/>
      <w:marLeft w:val="0"/>
      <w:marRight w:val="0"/>
      <w:marTop w:val="0"/>
      <w:marBottom w:val="0"/>
      <w:divBdr>
        <w:top w:val="none" w:sz="0" w:space="0" w:color="auto"/>
        <w:left w:val="none" w:sz="0" w:space="0" w:color="auto"/>
        <w:bottom w:val="none" w:sz="0" w:space="0" w:color="auto"/>
        <w:right w:val="none" w:sz="0" w:space="0" w:color="auto"/>
      </w:divBdr>
    </w:div>
    <w:div w:id="644553157">
      <w:bodyDiv w:val="1"/>
      <w:marLeft w:val="0"/>
      <w:marRight w:val="0"/>
      <w:marTop w:val="0"/>
      <w:marBottom w:val="0"/>
      <w:divBdr>
        <w:top w:val="none" w:sz="0" w:space="0" w:color="auto"/>
        <w:left w:val="none" w:sz="0" w:space="0" w:color="auto"/>
        <w:bottom w:val="none" w:sz="0" w:space="0" w:color="auto"/>
        <w:right w:val="none" w:sz="0" w:space="0" w:color="auto"/>
      </w:divBdr>
    </w:div>
    <w:div w:id="661474367">
      <w:bodyDiv w:val="1"/>
      <w:marLeft w:val="0"/>
      <w:marRight w:val="0"/>
      <w:marTop w:val="0"/>
      <w:marBottom w:val="0"/>
      <w:divBdr>
        <w:top w:val="none" w:sz="0" w:space="0" w:color="auto"/>
        <w:left w:val="none" w:sz="0" w:space="0" w:color="auto"/>
        <w:bottom w:val="none" w:sz="0" w:space="0" w:color="auto"/>
        <w:right w:val="none" w:sz="0" w:space="0" w:color="auto"/>
      </w:divBdr>
    </w:div>
    <w:div w:id="693263479">
      <w:bodyDiv w:val="1"/>
      <w:marLeft w:val="0"/>
      <w:marRight w:val="0"/>
      <w:marTop w:val="0"/>
      <w:marBottom w:val="0"/>
      <w:divBdr>
        <w:top w:val="none" w:sz="0" w:space="0" w:color="auto"/>
        <w:left w:val="none" w:sz="0" w:space="0" w:color="auto"/>
        <w:bottom w:val="none" w:sz="0" w:space="0" w:color="auto"/>
        <w:right w:val="none" w:sz="0" w:space="0" w:color="auto"/>
      </w:divBdr>
    </w:div>
    <w:div w:id="698237341">
      <w:bodyDiv w:val="1"/>
      <w:marLeft w:val="0"/>
      <w:marRight w:val="0"/>
      <w:marTop w:val="0"/>
      <w:marBottom w:val="0"/>
      <w:divBdr>
        <w:top w:val="none" w:sz="0" w:space="0" w:color="auto"/>
        <w:left w:val="none" w:sz="0" w:space="0" w:color="auto"/>
        <w:bottom w:val="none" w:sz="0" w:space="0" w:color="auto"/>
        <w:right w:val="none" w:sz="0" w:space="0" w:color="auto"/>
      </w:divBdr>
    </w:div>
    <w:div w:id="714309605">
      <w:bodyDiv w:val="1"/>
      <w:marLeft w:val="0"/>
      <w:marRight w:val="0"/>
      <w:marTop w:val="0"/>
      <w:marBottom w:val="0"/>
      <w:divBdr>
        <w:top w:val="none" w:sz="0" w:space="0" w:color="auto"/>
        <w:left w:val="none" w:sz="0" w:space="0" w:color="auto"/>
        <w:bottom w:val="none" w:sz="0" w:space="0" w:color="auto"/>
        <w:right w:val="none" w:sz="0" w:space="0" w:color="auto"/>
      </w:divBdr>
    </w:div>
    <w:div w:id="716973230">
      <w:bodyDiv w:val="1"/>
      <w:marLeft w:val="0"/>
      <w:marRight w:val="0"/>
      <w:marTop w:val="0"/>
      <w:marBottom w:val="0"/>
      <w:divBdr>
        <w:top w:val="none" w:sz="0" w:space="0" w:color="auto"/>
        <w:left w:val="none" w:sz="0" w:space="0" w:color="auto"/>
        <w:bottom w:val="none" w:sz="0" w:space="0" w:color="auto"/>
        <w:right w:val="none" w:sz="0" w:space="0" w:color="auto"/>
      </w:divBdr>
    </w:div>
    <w:div w:id="728260559">
      <w:bodyDiv w:val="1"/>
      <w:marLeft w:val="0"/>
      <w:marRight w:val="0"/>
      <w:marTop w:val="0"/>
      <w:marBottom w:val="0"/>
      <w:divBdr>
        <w:top w:val="none" w:sz="0" w:space="0" w:color="auto"/>
        <w:left w:val="none" w:sz="0" w:space="0" w:color="auto"/>
        <w:bottom w:val="none" w:sz="0" w:space="0" w:color="auto"/>
        <w:right w:val="none" w:sz="0" w:space="0" w:color="auto"/>
      </w:divBdr>
    </w:div>
    <w:div w:id="734352705">
      <w:bodyDiv w:val="1"/>
      <w:marLeft w:val="0"/>
      <w:marRight w:val="0"/>
      <w:marTop w:val="0"/>
      <w:marBottom w:val="0"/>
      <w:divBdr>
        <w:top w:val="none" w:sz="0" w:space="0" w:color="auto"/>
        <w:left w:val="none" w:sz="0" w:space="0" w:color="auto"/>
        <w:bottom w:val="none" w:sz="0" w:space="0" w:color="auto"/>
        <w:right w:val="none" w:sz="0" w:space="0" w:color="auto"/>
      </w:divBdr>
    </w:div>
    <w:div w:id="739910069">
      <w:bodyDiv w:val="1"/>
      <w:marLeft w:val="0"/>
      <w:marRight w:val="0"/>
      <w:marTop w:val="0"/>
      <w:marBottom w:val="0"/>
      <w:divBdr>
        <w:top w:val="none" w:sz="0" w:space="0" w:color="auto"/>
        <w:left w:val="none" w:sz="0" w:space="0" w:color="auto"/>
        <w:bottom w:val="none" w:sz="0" w:space="0" w:color="auto"/>
        <w:right w:val="none" w:sz="0" w:space="0" w:color="auto"/>
      </w:divBdr>
    </w:div>
    <w:div w:id="743575995">
      <w:bodyDiv w:val="1"/>
      <w:marLeft w:val="0"/>
      <w:marRight w:val="0"/>
      <w:marTop w:val="0"/>
      <w:marBottom w:val="0"/>
      <w:divBdr>
        <w:top w:val="none" w:sz="0" w:space="0" w:color="auto"/>
        <w:left w:val="none" w:sz="0" w:space="0" w:color="auto"/>
        <w:bottom w:val="none" w:sz="0" w:space="0" w:color="auto"/>
        <w:right w:val="none" w:sz="0" w:space="0" w:color="auto"/>
      </w:divBdr>
    </w:div>
    <w:div w:id="743844333">
      <w:bodyDiv w:val="1"/>
      <w:marLeft w:val="0"/>
      <w:marRight w:val="0"/>
      <w:marTop w:val="0"/>
      <w:marBottom w:val="0"/>
      <w:divBdr>
        <w:top w:val="none" w:sz="0" w:space="0" w:color="auto"/>
        <w:left w:val="none" w:sz="0" w:space="0" w:color="auto"/>
        <w:bottom w:val="none" w:sz="0" w:space="0" w:color="auto"/>
        <w:right w:val="none" w:sz="0" w:space="0" w:color="auto"/>
      </w:divBdr>
    </w:div>
    <w:div w:id="745878536">
      <w:bodyDiv w:val="1"/>
      <w:marLeft w:val="0"/>
      <w:marRight w:val="0"/>
      <w:marTop w:val="0"/>
      <w:marBottom w:val="0"/>
      <w:divBdr>
        <w:top w:val="none" w:sz="0" w:space="0" w:color="auto"/>
        <w:left w:val="none" w:sz="0" w:space="0" w:color="auto"/>
        <w:bottom w:val="none" w:sz="0" w:space="0" w:color="auto"/>
        <w:right w:val="none" w:sz="0" w:space="0" w:color="auto"/>
      </w:divBdr>
    </w:div>
    <w:div w:id="750660466">
      <w:bodyDiv w:val="1"/>
      <w:marLeft w:val="0"/>
      <w:marRight w:val="0"/>
      <w:marTop w:val="0"/>
      <w:marBottom w:val="0"/>
      <w:divBdr>
        <w:top w:val="none" w:sz="0" w:space="0" w:color="auto"/>
        <w:left w:val="none" w:sz="0" w:space="0" w:color="auto"/>
        <w:bottom w:val="none" w:sz="0" w:space="0" w:color="auto"/>
        <w:right w:val="none" w:sz="0" w:space="0" w:color="auto"/>
      </w:divBdr>
    </w:div>
    <w:div w:id="778523328">
      <w:bodyDiv w:val="1"/>
      <w:marLeft w:val="0"/>
      <w:marRight w:val="0"/>
      <w:marTop w:val="0"/>
      <w:marBottom w:val="0"/>
      <w:divBdr>
        <w:top w:val="none" w:sz="0" w:space="0" w:color="auto"/>
        <w:left w:val="none" w:sz="0" w:space="0" w:color="auto"/>
        <w:bottom w:val="none" w:sz="0" w:space="0" w:color="auto"/>
        <w:right w:val="none" w:sz="0" w:space="0" w:color="auto"/>
      </w:divBdr>
    </w:div>
    <w:div w:id="804398434">
      <w:bodyDiv w:val="1"/>
      <w:marLeft w:val="0"/>
      <w:marRight w:val="0"/>
      <w:marTop w:val="0"/>
      <w:marBottom w:val="0"/>
      <w:divBdr>
        <w:top w:val="none" w:sz="0" w:space="0" w:color="auto"/>
        <w:left w:val="none" w:sz="0" w:space="0" w:color="auto"/>
        <w:bottom w:val="none" w:sz="0" w:space="0" w:color="auto"/>
        <w:right w:val="none" w:sz="0" w:space="0" w:color="auto"/>
      </w:divBdr>
    </w:div>
    <w:div w:id="823358295">
      <w:bodyDiv w:val="1"/>
      <w:marLeft w:val="0"/>
      <w:marRight w:val="0"/>
      <w:marTop w:val="0"/>
      <w:marBottom w:val="0"/>
      <w:divBdr>
        <w:top w:val="none" w:sz="0" w:space="0" w:color="auto"/>
        <w:left w:val="none" w:sz="0" w:space="0" w:color="auto"/>
        <w:bottom w:val="none" w:sz="0" w:space="0" w:color="auto"/>
        <w:right w:val="none" w:sz="0" w:space="0" w:color="auto"/>
      </w:divBdr>
    </w:div>
    <w:div w:id="843666779">
      <w:bodyDiv w:val="1"/>
      <w:marLeft w:val="0"/>
      <w:marRight w:val="0"/>
      <w:marTop w:val="0"/>
      <w:marBottom w:val="0"/>
      <w:divBdr>
        <w:top w:val="none" w:sz="0" w:space="0" w:color="auto"/>
        <w:left w:val="none" w:sz="0" w:space="0" w:color="auto"/>
        <w:bottom w:val="none" w:sz="0" w:space="0" w:color="auto"/>
        <w:right w:val="none" w:sz="0" w:space="0" w:color="auto"/>
      </w:divBdr>
    </w:div>
    <w:div w:id="846361420">
      <w:bodyDiv w:val="1"/>
      <w:marLeft w:val="0"/>
      <w:marRight w:val="0"/>
      <w:marTop w:val="0"/>
      <w:marBottom w:val="0"/>
      <w:divBdr>
        <w:top w:val="none" w:sz="0" w:space="0" w:color="auto"/>
        <w:left w:val="none" w:sz="0" w:space="0" w:color="auto"/>
        <w:bottom w:val="none" w:sz="0" w:space="0" w:color="auto"/>
        <w:right w:val="none" w:sz="0" w:space="0" w:color="auto"/>
      </w:divBdr>
    </w:div>
    <w:div w:id="856389807">
      <w:bodyDiv w:val="1"/>
      <w:marLeft w:val="0"/>
      <w:marRight w:val="0"/>
      <w:marTop w:val="0"/>
      <w:marBottom w:val="0"/>
      <w:divBdr>
        <w:top w:val="none" w:sz="0" w:space="0" w:color="auto"/>
        <w:left w:val="none" w:sz="0" w:space="0" w:color="auto"/>
        <w:bottom w:val="none" w:sz="0" w:space="0" w:color="auto"/>
        <w:right w:val="none" w:sz="0" w:space="0" w:color="auto"/>
      </w:divBdr>
    </w:div>
    <w:div w:id="864905560">
      <w:bodyDiv w:val="1"/>
      <w:marLeft w:val="0"/>
      <w:marRight w:val="0"/>
      <w:marTop w:val="0"/>
      <w:marBottom w:val="0"/>
      <w:divBdr>
        <w:top w:val="none" w:sz="0" w:space="0" w:color="auto"/>
        <w:left w:val="none" w:sz="0" w:space="0" w:color="auto"/>
        <w:bottom w:val="none" w:sz="0" w:space="0" w:color="auto"/>
        <w:right w:val="none" w:sz="0" w:space="0" w:color="auto"/>
      </w:divBdr>
      <w:divsChild>
        <w:div w:id="1704208455">
          <w:marLeft w:val="0"/>
          <w:marRight w:val="0"/>
          <w:marTop w:val="0"/>
          <w:marBottom w:val="0"/>
          <w:divBdr>
            <w:top w:val="none" w:sz="0" w:space="0" w:color="auto"/>
            <w:left w:val="none" w:sz="0" w:space="0" w:color="auto"/>
            <w:bottom w:val="none" w:sz="0" w:space="0" w:color="auto"/>
            <w:right w:val="none" w:sz="0" w:space="0" w:color="auto"/>
          </w:divBdr>
          <w:divsChild>
            <w:div w:id="637762985">
              <w:marLeft w:val="0"/>
              <w:marRight w:val="0"/>
              <w:marTop w:val="0"/>
              <w:marBottom w:val="0"/>
              <w:divBdr>
                <w:top w:val="none" w:sz="0" w:space="0" w:color="auto"/>
                <w:left w:val="none" w:sz="0" w:space="0" w:color="auto"/>
                <w:bottom w:val="none" w:sz="0" w:space="0" w:color="auto"/>
                <w:right w:val="none" w:sz="0" w:space="0" w:color="auto"/>
              </w:divBdr>
              <w:divsChild>
                <w:div w:id="307445615">
                  <w:marLeft w:val="0"/>
                  <w:marRight w:val="0"/>
                  <w:marTop w:val="0"/>
                  <w:marBottom w:val="0"/>
                  <w:divBdr>
                    <w:top w:val="none" w:sz="0" w:space="0" w:color="auto"/>
                    <w:left w:val="none" w:sz="0" w:space="0" w:color="auto"/>
                    <w:bottom w:val="none" w:sz="0" w:space="0" w:color="auto"/>
                    <w:right w:val="none" w:sz="0" w:space="0" w:color="auto"/>
                  </w:divBdr>
                  <w:divsChild>
                    <w:div w:id="489828786">
                      <w:marLeft w:val="0"/>
                      <w:marRight w:val="0"/>
                      <w:marTop w:val="0"/>
                      <w:marBottom w:val="0"/>
                      <w:divBdr>
                        <w:top w:val="none" w:sz="0" w:space="0" w:color="auto"/>
                        <w:left w:val="none" w:sz="0" w:space="0" w:color="auto"/>
                        <w:bottom w:val="none" w:sz="0" w:space="0" w:color="auto"/>
                        <w:right w:val="none" w:sz="0" w:space="0" w:color="auto"/>
                      </w:divBdr>
                      <w:divsChild>
                        <w:div w:id="1002046815">
                          <w:marLeft w:val="0"/>
                          <w:marRight w:val="0"/>
                          <w:marTop w:val="0"/>
                          <w:marBottom w:val="0"/>
                          <w:divBdr>
                            <w:top w:val="none" w:sz="0" w:space="0" w:color="auto"/>
                            <w:left w:val="none" w:sz="0" w:space="0" w:color="auto"/>
                            <w:bottom w:val="none" w:sz="0" w:space="0" w:color="auto"/>
                            <w:right w:val="none" w:sz="0" w:space="0" w:color="auto"/>
                          </w:divBdr>
                          <w:divsChild>
                            <w:div w:id="668411117">
                              <w:marLeft w:val="0"/>
                              <w:marRight w:val="0"/>
                              <w:marTop w:val="0"/>
                              <w:marBottom w:val="0"/>
                              <w:divBdr>
                                <w:top w:val="none" w:sz="0" w:space="0" w:color="auto"/>
                                <w:left w:val="none" w:sz="0" w:space="0" w:color="auto"/>
                                <w:bottom w:val="none" w:sz="0" w:space="0" w:color="auto"/>
                                <w:right w:val="none" w:sz="0" w:space="0" w:color="auto"/>
                              </w:divBdr>
                              <w:divsChild>
                                <w:div w:id="955058935">
                                  <w:marLeft w:val="0"/>
                                  <w:marRight w:val="0"/>
                                  <w:marTop w:val="0"/>
                                  <w:marBottom w:val="0"/>
                                  <w:divBdr>
                                    <w:top w:val="none" w:sz="0" w:space="0" w:color="auto"/>
                                    <w:left w:val="none" w:sz="0" w:space="0" w:color="auto"/>
                                    <w:bottom w:val="none" w:sz="0" w:space="0" w:color="auto"/>
                                    <w:right w:val="none" w:sz="0" w:space="0" w:color="auto"/>
                                  </w:divBdr>
                                  <w:divsChild>
                                    <w:div w:id="536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400003">
      <w:bodyDiv w:val="1"/>
      <w:marLeft w:val="0"/>
      <w:marRight w:val="0"/>
      <w:marTop w:val="0"/>
      <w:marBottom w:val="0"/>
      <w:divBdr>
        <w:top w:val="none" w:sz="0" w:space="0" w:color="auto"/>
        <w:left w:val="none" w:sz="0" w:space="0" w:color="auto"/>
        <w:bottom w:val="none" w:sz="0" w:space="0" w:color="auto"/>
        <w:right w:val="none" w:sz="0" w:space="0" w:color="auto"/>
      </w:divBdr>
    </w:div>
    <w:div w:id="903642002">
      <w:bodyDiv w:val="1"/>
      <w:marLeft w:val="0"/>
      <w:marRight w:val="0"/>
      <w:marTop w:val="0"/>
      <w:marBottom w:val="0"/>
      <w:divBdr>
        <w:top w:val="none" w:sz="0" w:space="0" w:color="auto"/>
        <w:left w:val="none" w:sz="0" w:space="0" w:color="auto"/>
        <w:bottom w:val="none" w:sz="0" w:space="0" w:color="auto"/>
        <w:right w:val="none" w:sz="0" w:space="0" w:color="auto"/>
      </w:divBdr>
    </w:div>
    <w:div w:id="926351740">
      <w:bodyDiv w:val="1"/>
      <w:marLeft w:val="0"/>
      <w:marRight w:val="0"/>
      <w:marTop w:val="0"/>
      <w:marBottom w:val="0"/>
      <w:divBdr>
        <w:top w:val="none" w:sz="0" w:space="0" w:color="auto"/>
        <w:left w:val="none" w:sz="0" w:space="0" w:color="auto"/>
        <w:bottom w:val="none" w:sz="0" w:space="0" w:color="auto"/>
        <w:right w:val="none" w:sz="0" w:space="0" w:color="auto"/>
      </w:divBdr>
    </w:div>
    <w:div w:id="958031468">
      <w:bodyDiv w:val="1"/>
      <w:marLeft w:val="0"/>
      <w:marRight w:val="0"/>
      <w:marTop w:val="0"/>
      <w:marBottom w:val="0"/>
      <w:divBdr>
        <w:top w:val="none" w:sz="0" w:space="0" w:color="auto"/>
        <w:left w:val="none" w:sz="0" w:space="0" w:color="auto"/>
        <w:bottom w:val="none" w:sz="0" w:space="0" w:color="auto"/>
        <w:right w:val="none" w:sz="0" w:space="0" w:color="auto"/>
      </w:divBdr>
    </w:div>
    <w:div w:id="993484332">
      <w:bodyDiv w:val="1"/>
      <w:marLeft w:val="0"/>
      <w:marRight w:val="0"/>
      <w:marTop w:val="0"/>
      <w:marBottom w:val="0"/>
      <w:divBdr>
        <w:top w:val="none" w:sz="0" w:space="0" w:color="auto"/>
        <w:left w:val="none" w:sz="0" w:space="0" w:color="auto"/>
        <w:bottom w:val="none" w:sz="0" w:space="0" w:color="auto"/>
        <w:right w:val="none" w:sz="0" w:space="0" w:color="auto"/>
      </w:divBdr>
    </w:div>
    <w:div w:id="1001662957">
      <w:bodyDiv w:val="1"/>
      <w:marLeft w:val="0"/>
      <w:marRight w:val="0"/>
      <w:marTop w:val="0"/>
      <w:marBottom w:val="0"/>
      <w:divBdr>
        <w:top w:val="none" w:sz="0" w:space="0" w:color="auto"/>
        <w:left w:val="none" w:sz="0" w:space="0" w:color="auto"/>
        <w:bottom w:val="none" w:sz="0" w:space="0" w:color="auto"/>
        <w:right w:val="none" w:sz="0" w:space="0" w:color="auto"/>
      </w:divBdr>
    </w:div>
    <w:div w:id="1018312468">
      <w:bodyDiv w:val="1"/>
      <w:marLeft w:val="0"/>
      <w:marRight w:val="0"/>
      <w:marTop w:val="0"/>
      <w:marBottom w:val="0"/>
      <w:divBdr>
        <w:top w:val="none" w:sz="0" w:space="0" w:color="auto"/>
        <w:left w:val="none" w:sz="0" w:space="0" w:color="auto"/>
        <w:bottom w:val="none" w:sz="0" w:space="0" w:color="auto"/>
        <w:right w:val="none" w:sz="0" w:space="0" w:color="auto"/>
      </w:divBdr>
    </w:div>
    <w:div w:id="1029723523">
      <w:bodyDiv w:val="1"/>
      <w:marLeft w:val="0"/>
      <w:marRight w:val="0"/>
      <w:marTop w:val="0"/>
      <w:marBottom w:val="0"/>
      <w:divBdr>
        <w:top w:val="none" w:sz="0" w:space="0" w:color="auto"/>
        <w:left w:val="none" w:sz="0" w:space="0" w:color="auto"/>
        <w:bottom w:val="none" w:sz="0" w:space="0" w:color="auto"/>
        <w:right w:val="none" w:sz="0" w:space="0" w:color="auto"/>
      </w:divBdr>
    </w:div>
    <w:div w:id="1060984088">
      <w:bodyDiv w:val="1"/>
      <w:marLeft w:val="0"/>
      <w:marRight w:val="0"/>
      <w:marTop w:val="0"/>
      <w:marBottom w:val="0"/>
      <w:divBdr>
        <w:top w:val="none" w:sz="0" w:space="0" w:color="auto"/>
        <w:left w:val="none" w:sz="0" w:space="0" w:color="auto"/>
        <w:bottom w:val="none" w:sz="0" w:space="0" w:color="auto"/>
        <w:right w:val="none" w:sz="0" w:space="0" w:color="auto"/>
      </w:divBdr>
    </w:div>
    <w:div w:id="1063989058">
      <w:bodyDiv w:val="1"/>
      <w:marLeft w:val="0"/>
      <w:marRight w:val="0"/>
      <w:marTop w:val="0"/>
      <w:marBottom w:val="0"/>
      <w:divBdr>
        <w:top w:val="none" w:sz="0" w:space="0" w:color="auto"/>
        <w:left w:val="none" w:sz="0" w:space="0" w:color="auto"/>
        <w:bottom w:val="none" w:sz="0" w:space="0" w:color="auto"/>
        <w:right w:val="none" w:sz="0" w:space="0" w:color="auto"/>
      </w:divBdr>
    </w:div>
    <w:div w:id="1064792115">
      <w:bodyDiv w:val="1"/>
      <w:marLeft w:val="0"/>
      <w:marRight w:val="0"/>
      <w:marTop w:val="0"/>
      <w:marBottom w:val="0"/>
      <w:divBdr>
        <w:top w:val="none" w:sz="0" w:space="0" w:color="auto"/>
        <w:left w:val="none" w:sz="0" w:space="0" w:color="auto"/>
        <w:bottom w:val="none" w:sz="0" w:space="0" w:color="auto"/>
        <w:right w:val="none" w:sz="0" w:space="0" w:color="auto"/>
      </w:divBdr>
    </w:div>
    <w:div w:id="1072966352">
      <w:bodyDiv w:val="1"/>
      <w:marLeft w:val="0"/>
      <w:marRight w:val="0"/>
      <w:marTop w:val="0"/>
      <w:marBottom w:val="0"/>
      <w:divBdr>
        <w:top w:val="none" w:sz="0" w:space="0" w:color="auto"/>
        <w:left w:val="none" w:sz="0" w:space="0" w:color="auto"/>
        <w:bottom w:val="none" w:sz="0" w:space="0" w:color="auto"/>
        <w:right w:val="none" w:sz="0" w:space="0" w:color="auto"/>
      </w:divBdr>
    </w:div>
    <w:div w:id="1088427610">
      <w:bodyDiv w:val="1"/>
      <w:marLeft w:val="0"/>
      <w:marRight w:val="0"/>
      <w:marTop w:val="0"/>
      <w:marBottom w:val="0"/>
      <w:divBdr>
        <w:top w:val="none" w:sz="0" w:space="0" w:color="auto"/>
        <w:left w:val="none" w:sz="0" w:space="0" w:color="auto"/>
        <w:bottom w:val="none" w:sz="0" w:space="0" w:color="auto"/>
        <w:right w:val="none" w:sz="0" w:space="0" w:color="auto"/>
      </w:divBdr>
    </w:div>
    <w:div w:id="1118841744">
      <w:bodyDiv w:val="1"/>
      <w:marLeft w:val="0"/>
      <w:marRight w:val="0"/>
      <w:marTop w:val="0"/>
      <w:marBottom w:val="0"/>
      <w:divBdr>
        <w:top w:val="none" w:sz="0" w:space="0" w:color="auto"/>
        <w:left w:val="none" w:sz="0" w:space="0" w:color="auto"/>
        <w:bottom w:val="none" w:sz="0" w:space="0" w:color="auto"/>
        <w:right w:val="none" w:sz="0" w:space="0" w:color="auto"/>
      </w:divBdr>
    </w:div>
    <w:div w:id="1126045217">
      <w:bodyDiv w:val="1"/>
      <w:marLeft w:val="0"/>
      <w:marRight w:val="0"/>
      <w:marTop w:val="0"/>
      <w:marBottom w:val="0"/>
      <w:divBdr>
        <w:top w:val="none" w:sz="0" w:space="0" w:color="auto"/>
        <w:left w:val="none" w:sz="0" w:space="0" w:color="auto"/>
        <w:bottom w:val="none" w:sz="0" w:space="0" w:color="auto"/>
        <w:right w:val="none" w:sz="0" w:space="0" w:color="auto"/>
      </w:divBdr>
    </w:div>
    <w:div w:id="1147549931">
      <w:bodyDiv w:val="1"/>
      <w:marLeft w:val="0"/>
      <w:marRight w:val="0"/>
      <w:marTop w:val="0"/>
      <w:marBottom w:val="0"/>
      <w:divBdr>
        <w:top w:val="none" w:sz="0" w:space="0" w:color="auto"/>
        <w:left w:val="none" w:sz="0" w:space="0" w:color="auto"/>
        <w:bottom w:val="none" w:sz="0" w:space="0" w:color="auto"/>
        <w:right w:val="none" w:sz="0" w:space="0" w:color="auto"/>
      </w:divBdr>
    </w:div>
    <w:div w:id="1159616100">
      <w:bodyDiv w:val="1"/>
      <w:marLeft w:val="0"/>
      <w:marRight w:val="0"/>
      <w:marTop w:val="0"/>
      <w:marBottom w:val="0"/>
      <w:divBdr>
        <w:top w:val="none" w:sz="0" w:space="0" w:color="auto"/>
        <w:left w:val="none" w:sz="0" w:space="0" w:color="auto"/>
        <w:bottom w:val="none" w:sz="0" w:space="0" w:color="auto"/>
        <w:right w:val="none" w:sz="0" w:space="0" w:color="auto"/>
      </w:divBdr>
    </w:div>
    <w:div w:id="1196503530">
      <w:bodyDiv w:val="1"/>
      <w:marLeft w:val="0"/>
      <w:marRight w:val="0"/>
      <w:marTop w:val="0"/>
      <w:marBottom w:val="0"/>
      <w:divBdr>
        <w:top w:val="none" w:sz="0" w:space="0" w:color="auto"/>
        <w:left w:val="none" w:sz="0" w:space="0" w:color="auto"/>
        <w:bottom w:val="none" w:sz="0" w:space="0" w:color="auto"/>
        <w:right w:val="none" w:sz="0" w:space="0" w:color="auto"/>
      </w:divBdr>
    </w:div>
    <w:div w:id="1219434238">
      <w:bodyDiv w:val="1"/>
      <w:marLeft w:val="0"/>
      <w:marRight w:val="0"/>
      <w:marTop w:val="0"/>
      <w:marBottom w:val="0"/>
      <w:divBdr>
        <w:top w:val="none" w:sz="0" w:space="0" w:color="auto"/>
        <w:left w:val="none" w:sz="0" w:space="0" w:color="auto"/>
        <w:bottom w:val="none" w:sz="0" w:space="0" w:color="auto"/>
        <w:right w:val="none" w:sz="0" w:space="0" w:color="auto"/>
      </w:divBdr>
    </w:div>
    <w:div w:id="1270820254">
      <w:bodyDiv w:val="1"/>
      <w:marLeft w:val="0"/>
      <w:marRight w:val="0"/>
      <w:marTop w:val="0"/>
      <w:marBottom w:val="0"/>
      <w:divBdr>
        <w:top w:val="none" w:sz="0" w:space="0" w:color="auto"/>
        <w:left w:val="none" w:sz="0" w:space="0" w:color="auto"/>
        <w:bottom w:val="none" w:sz="0" w:space="0" w:color="auto"/>
        <w:right w:val="none" w:sz="0" w:space="0" w:color="auto"/>
      </w:divBdr>
    </w:div>
    <w:div w:id="1298800626">
      <w:bodyDiv w:val="1"/>
      <w:marLeft w:val="0"/>
      <w:marRight w:val="0"/>
      <w:marTop w:val="0"/>
      <w:marBottom w:val="0"/>
      <w:divBdr>
        <w:top w:val="none" w:sz="0" w:space="0" w:color="auto"/>
        <w:left w:val="none" w:sz="0" w:space="0" w:color="auto"/>
        <w:bottom w:val="none" w:sz="0" w:space="0" w:color="auto"/>
        <w:right w:val="none" w:sz="0" w:space="0" w:color="auto"/>
      </w:divBdr>
    </w:div>
    <w:div w:id="1348287544">
      <w:bodyDiv w:val="1"/>
      <w:marLeft w:val="0"/>
      <w:marRight w:val="0"/>
      <w:marTop w:val="0"/>
      <w:marBottom w:val="0"/>
      <w:divBdr>
        <w:top w:val="none" w:sz="0" w:space="0" w:color="auto"/>
        <w:left w:val="none" w:sz="0" w:space="0" w:color="auto"/>
        <w:bottom w:val="none" w:sz="0" w:space="0" w:color="auto"/>
        <w:right w:val="none" w:sz="0" w:space="0" w:color="auto"/>
      </w:divBdr>
    </w:div>
    <w:div w:id="1394700648">
      <w:bodyDiv w:val="1"/>
      <w:marLeft w:val="0"/>
      <w:marRight w:val="0"/>
      <w:marTop w:val="0"/>
      <w:marBottom w:val="0"/>
      <w:divBdr>
        <w:top w:val="none" w:sz="0" w:space="0" w:color="auto"/>
        <w:left w:val="none" w:sz="0" w:space="0" w:color="auto"/>
        <w:bottom w:val="none" w:sz="0" w:space="0" w:color="auto"/>
        <w:right w:val="none" w:sz="0" w:space="0" w:color="auto"/>
      </w:divBdr>
    </w:div>
    <w:div w:id="1396008938">
      <w:bodyDiv w:val="1"/>
      <w:marLeft w:val="0"/>
      <w:marRight w:val="0"/>
      <w:marTop w:val="0"/>
      <w:marBottom w:val="0"/>
      <w:divBdr>
        <w:top w:val="none" w:sz="0" w:space="0" w:color="auto"/>
        <w:left w:val="none" w:sz="0" w:space="0" w:color="auto"/>
        <w:bottom w:val="none" w:sz="0" w:space="0" w:color="auto"/>
        <w:right w:val="none" w:sz="0" w:space="0" w:color="auto"/>
      </w:divBdr>
    </w:div>
    <w:div w:id="1413695819">
      <w:bodyDiv w:val="1"/>
      <w:marLeft w:val="0"/>
      <w:marRight w:val="0"/>
      <w:marTop w:val="0"/>
      <w:marBottom w:val="0"/>
      <w:divBdr>
        <w:top w:val="none" w:sz="0" w:space="0" w:color="auto"/>
        <w:left w:val="none" w:sz="0" w:space="0" w:color="auto"/>
        <w:bottom w:val="none" w:sz="0" w:space="0" w:color="auto"/>
        <w:right w:val="none" w:sz="0" w:space="0" w:color="auto"/>
      </w:divBdr>
    </w:div>
    <w:div w:id="1444183004">
      <w:bodyDiv w:val="1"/>
      <w:marLeft w:val="0"/>
      <w:marRight w:val="0"/>
      <w:marTop w:val="0"/>
      <w:marBottom w:val="0"/>
      <w:divBdr>
        <w:top w:val="none" w:sz="0" w:space="0" w:color="auto"/>
        <w:left w:val="none" w:sz="0" w:space="0" w:color="auto"/>
        <w:bottom w:val="none" w:sz="0" w:space="0" w:color="auto"/>
        <w:right w:val="none" w:sz="0" w:space="0" w:color="auto"/>
      </w:divBdr>
    </w:div>
    <w:div w:id="1459758680">
      <w:bodyDiv w:val="1"/>
      <w:marLeft w:val="0"/>
      <w:marRight w:val="0"/>
      <w:marTop w:val="0"/>
      <w:marBottom w:val="0"/>
      <w:divBdr>
        <w:top w:val="none" w:sz="0" w:space="0" w:color="auto"/>
        <w:left w:val="none" w:sz="0" w:space="0" w:color="auto"/>
        <w:bottom w:val="none" w:sz="0" w:space="0" w:color="auto"/>
        <w:right w:val="none" w:sz="0" w:space="0" w:color="auto"/>
      </w:divBdr>
    </w:div>
    <w:div w:id="1473786020">
      <w:bodyDiv w:val="1"/>
      <w:marLeft w:val="0"/>
      <w:marRight w:val="0"/>
      <w:marTop w:val="0"/>
      <w:marBottom w:val="0"/>
      <w:divBdr>
        <w:top w:val="none" w:sz="0" w:space="0" w:color="auto"/>
        <w:left w:val="none" w:sz="0" w:space="0" w:color="auto"/>
        <w:bottom w:val="none" w:sz="0" w:space="0" w:color="auto"/>
        <w:right w:val="none" w:sz="0" w:space="0" w:color="auto"/>
      </w:divBdr>
    </w:div>
    <w:div w:id="1485245061">
      <w:bodyDiv w:val="1"/>
      <w:marLeft w:val="0"/>
      <w:marRight w:val="0"/>
      <w:marTop w:val="0"/>
      <w:marBottom w:val="0"/>
      <w:divBdr>
        <w:top w:val="none" w:sz="0" w:space="0" w:color="auto"/>
        <w:left w:val="none" w:sz="0" w:space="0" w:color="auto"/>
        <w:bottom w:val="none" w:sz="0" w:space="0" w:color="auto"/>
        <w:right w:val="none" w:sz="0" w:space="0" w:color="auto"/>
      </w:divBdr>
    </w:div>
    <w:div w:id="1493645583">
      <w:bodyDiv w:val="1"/>
      <w:marLeft w:val="0"/>
      <w:marRight w:val="0"/>
      <w:marTop w:val="0"/>
      <w:marBottom w:val="0"/>
      <w:divBdr>
        <w:top w:val="none" w:sz="0" w:space="0" w:color="auto"/>
        <w:left w:val="none" w:sz="0" w:space="0" w:color="auto"/>
        <w:bottom w:val="none" w:sz="0" w:space="0" w:color="auto"/>
        <w:right w:val="none" w:sz="0" w:space="0" w:color="auto"/>
      </w:divBdr>
    </w:div>
    <w:div w:id="1494373351">
      <w:bodyDiv w:val="1"/>
      <w:marLeft w:val="0"/>
      <w:marRight w:val="0"/>
      <w:marTop w:val="0"/>
      <w:marBottom w:val="0"/>
      <w:divBdr>
        <w:top w:val="none" w:sz="0" w:space="0" w:color="auto"/>
        <w:left w:val="none" w:sz="0" w:space="0" w:color="auto"/>
        <w:bottom w:val="none" w:sz="0" w:space="0" w:color="auto"/>
        <w:right w:val="none" w:sz="0" w:space="0" w:color="auto"/>
      </w:divBdr>
    </w:div>
    <w:div w:id="1502282349">
      <w:bodyDiv w:val="1"/>
      <w:marLeft w:val="0"/>
      <w:marRight w:val="0"/>
      <w:marTop w:val="0"/>
      <w:marBottom w:val="0"/>
      <w:divBdr>
        <w:top w:val="none" w:sz="0" w:space="0" w:color="auto"/>
        <w:left w:val="none" w:sz="0" w:space="0" w:color="auto"/>
        <w:bottom w:val="none" w:sz="0" w:space="0" w:color="auto"/>
        <w:right w:val="none" w:sz="0" w:space="0" w:color="auto"/>
      </w:divBdr>
    </w:div>
    <w:div w:id="1510754148">
      <w:bodyDiv w:val="1"/>
      <w:marLeft w:val="0"/>
      <w:marRight w:val="0"/>
      <w:marTop w:val="0"/>
      <w:marBottom w:val="0"/>
      <w:divBdr>
        <w:top w:val="none" w:sz="0" w:space="0" w:color="auto"/>
        <w:left w:val="none" w:sz="0" w:space="0" w:color="auto"/>
        <w:bottom w:val="none" w:sz="0" w:space="0" w:color="auto"/>
        <w:right w:val="none" w:sz="0" w:space="0" w:color="auto"/>
      </w:divBdr>
    </w:div>
    <w:div w:id="1549223978">
      <w:bodyDiv w:val="1"/>
      <w:marLeft w:val="0"/>
      <w:marRight w:val="0"/>
      <w:marTop w:val="0"/>
      <w:marBottom w:val="0"/>
      <w:divBdr>
        <w:top w:val="none" w:sz="0" w:space="0" w:color="auto"/>
        <w:left w:val="none" w:sz="0" w:space="0" w:color="auto"/>
        <w:bottom w:val="none" w:sz="0" w:space="0" w:color="auto"/>
        <w:right w:val="none" w:sz="0" w:space="0" w:color="auto"/>
      </w:divBdr>
    </w:div>
    <w:div w:id="1586038056">
      <w:bodyDiv w:val="1"/>
      <w:marLeft w:val="0"/>
      <w:marRight w:val="0"/>
      <w:marTop w:val="0"/>
      <w:marBottom w:val="0"/>
      <w:divBdr>
        <w:top w:val="none" w:sz="0" w:space="0" w:color="auto"/>
        <w:left w:val="none" w:sz="0" w:space="0" w:color="auto"/>
        <w:bottom w:val="none" w:sz="0" w:space="0" w:color="auto"/>
        <w:right w:val="none" w:sz="0" w:space="0" w:color="auto"/>
      </w:divBdr>
    </w:div>
    <w:div w:id="1590194288">
      <w:bodyDiv w:val="1"/>
      <w:marLeft w:val="0"/>
      <w:marRight w:val="0"/>
      <w:marTop w:val="0"/>
      <w:marBottom w:val="0"/>
      <w:divBdr>
        <w:top w:val="none" w:sz="0" w:space="0" w:color="auto"/>
        <w:left w:val="none" w:sz="0" w:space="0" w:color="auto"/>
        <w:bottom w:val="none" w:sz="0" w:space="0" w:color="auto"/>
        <w:right w:val="none" w:sz="0" w:space="0" w:color="auto"/>
      </w:divBdr>
    </w:div>
    <w:div w:id="1591236436">
      <w:bodyDiv w:val="1"/>
      <w:marLeft w:val="0"/>
      <w:marRight w:val="0"/>
      <w:marTop w:val="0"/>
      <w:marBottom w:val="0"/>
      <w:divBdr>
        <w:top w:val="none" w:sz="0" w:space="0" w:color="auto"/>
        <w:left w:val="none" w:sz="0" w:space="0" w:color="auto"/>
        <w:bottom w:val="none" w:sz="0" w:space="0" w:color="auto"/>
        <w:right w:val="none" w:sz="0" w:space="0" w:color="auto"/>
      </w:divBdr>
    </w:div>
    <w:div w:id="1611662465">
      <w:bodyDiv w:val="1"/>
      <w:marLeft w:val="0"/>
      <w:marRight w:val="0"/>
      <w:marTop w:val="0"/>
      <w:marBottom w:val="0"/>
      <w:divBdr>
        <w:top w:val="none" w:sz="0" w:space="0" w:color="auto"/>
        <w:left w:val="none" w:sz="0" w:space="0" w:color="auto"/>
        <w:bottom w:val="none" w:sz="0" w:space="0" w:color="auto"/>
        <w:right w:val="none" w:sz="0" w:space="0" w:color="auto"/>
      </w:divBdr>
    </w:div>
    <w:div w:id="1616210609">
      <w:bodyDiv w:val="1"/>
      <w:marLeft w:val="0"/>
      <w:marRight w:val="0"/>
      <w:marTop w:val="0"/>
      <w:marBottom w:val="0"/>
      <w:divBdr>
        <w:top w:val="none" w:sz="0" w:space="0" w:color="auto"/>
        <w:left w:val="none" w:sz="0" w:space="0" w:color="auto"/>
        <w:bottom w:val="none" w:sz="0" w:space="0" w:color="auto"/>
        <w:right w:val="none" w:sz="0" w:space="0" w:color="auto"/>
      </w:divBdr>
      <w:divsChild>
        <w:div w:id="134950841">
          <w:marLeft w:val="0"/>
          <w:marRight w:val="0"/>
          <w:marTop w:val="0"/>
          <w:marBottom w:val="0"/>
          <w:divBdr>
            <w:top w:val="none" w:sz="0" w:space="0" w:color="auto"/>
            <w:left w:val="none" w:sz="0" w:space="0" w:color="auto"/>
            <w:bottom w:val="none" w:sz="0" w:space="0" w:color="auto"/>
            <w:right w:val="none" w:sz="0" w:space="0" w:color="auto"/>
          </w:divBdr>
          <w:divsChild>
            <w:div w:id="1849902385">
              <w:marLeft w:val="0"/>
              <w:marRight w:val="0"/>
              <w:marTop w:val="0"/>
              <w:marBottom w:val="0"/>
              <w:divBdr>
                <w:top w:val="none" w:sz="0" w:space="0" w:color="auto"/>
                <w:left w:val="none" w:sz="0" w:space="0" w:color="auto"/>
                <w:bottom w:val="none" w:sz="0" w:space="0" w:color="auto"/>
                <w:right w:val="none" w:sz="0" w:space="0" w:color="auto"/>
              </w:divBdr>
              <w:divsChild>
                <w:div w:id="1900358578">
                  <w:marLeft w:val="0"/>
                  <w:marRight w:val="0"/>
                  <w:marTop w:val="0"/>
                  <w:marBottom w:val="0"/>
                  <w:divBdr>
                    <w:top w:val="none" w:sz="0" w:space="0" w:color="auto"/>
                    <w:left w:val="none" w:sz="0" w:space="0" w:color="auto"/>
                    <w:bottom w:val="none" w:sz="0" w:space="0" w:color="auto"/>
                    <w:right w:val="none" w:sz="0" w:space="0" w:color="auto"/>
                  </w:divBdr>
                  <w:divsChild>
                    <w:div w:id="1815220288">
                      <w:marLeft w:val="0"/>
                      <w:marRight w:val="0"/>
                      <w:marTop w:val="0"/>
                      <w:marBottom w:val="0"/>
                      <w:divBdr>
                        <w:top w:val="none" w:sz="0" w:space="0" w:color="auto"/>
                        <w:left w:val="none" w:sz="0" w:space="0" w:color="auto"/>
                        <w:bottom w:val="none" w:sz="0" w:space="0" w:color="auto"/>
                        <w:right w:val="none" w:sz="0" w:space="0" w:color="auto"/>
                      </w:divBdr>
                      <w:divsChild>
                        <w:div w:id="1416324906">
                          <w:marLeft w:val="0"/>
                          <w:marRight w:val="0"/>
                          <w:marTop w:val="0"/>
                          <w:marBottom w:val="0"/>
                          <w:divBdr>
                            <w:top w:val="none" w:sz="0" w:space="0" w:color="auto"/>
                            <w:left w:val="none" w:sz="0" w:space="0" w:color="auto"/>
                            <w:bottom w:val="none" w:sz="0" w:space="0" w:color="auto"/>
                            <w:right w:val="none" w:sz="0" w:space="0" w:color="auto"/>
                          </w:divBdr>
                          <w:divsChild>
                            <w:div w:id="729116081">
                              <w:marLeft w:val="0"/>
                              <w:marRight w:val="0"/>
                              <w:marTop w:val="0"/>
                              <w:marBottom w:val="0"/>
                              <w:divBdr>
                                <w:top w:val="none" w:sz="0" w:space="0" w:color="auto"/>
                                <w:left w:val="none" w:sz="0" w:space="0" w:color="auto"/>
                                <w:bottom w:val="none" w:sz="0" w:space="0" w:color="auto"/>
                                <w:right w:val="none" w:sz="0" w:space="0" w:color="auto"/>
                              </w:divBdr>
                              <w:divsChild>
                                <w:div w:id="1442651773">
                                  <w:marLeft w:val="0"/>
                                  <w:marRight w:val="0"/>
                                  <w:marTop w:val="0"/>
                                  <w:marBottom w:val="0"/>
                                  <w:divBdr>
                                    <w:top w:val="none" w:sz="0" w:space="0" w:color="auto"/>
                                    <w:left w:val="none" w:sz="0" w:space="0" w:color="auto"/>
                                    <w:bottom w:val="none" w:sz="0" w:space="0" w:color="auto"/>
                                    <w:right w:val="none" w:sz="0" w:space="0" w:color="auto"/>
                                  </w:divBdr>
                                  <w:divsChild>
                                    <w:div w:id="19692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801061">
      <w:bodyDiv w:val="1"/>
      <w:marLeft w:val="0"/>
      <w:marRight w:val="0"/>
      <w:marTop w:val="0"/>
      <w:marBottom w:val="0"/>
      <w:divBdr>
        <w:top w:val="none" w:sz="0" w:space="0" w:color="auto"/>
        <w:left w:val="none" w:sz="0" w:space="0" w:color="auto"/>
        <w:bottom w:val="none" w:sz="0" w:space="0" w:color="auto"/>
        <w:right w:val="none" w:sz="0" w:space="0" w:color="auto"/>
      </w:divBdr>
    </w:div>
    <w:div w:id="1662927503">
      <w:bodyDiv w:val="1"/>
      <w:marLeft w:val="0"/>
      <w:marRight w:val="0"/>
      <w:marTop w:val="0"/>
      <w:marBottom w:val="0"/>
      <w:divBdr>
        <w:top w:val="none" w:sz="0" w:space="0" w:color="auto"/>
        <w:left w:val="none" w:sz="0" w:space="0" w:color="auto"/>
        <w:bottom w:val="none" w:sz="0" w:space="0" w:color="auto"/>
        <w:right w:val="none" w:sz="0" w:space="0" w:color="auto"/>
      </w:divBdr>
    </w:div>
    <w:div w:id="1673489018">
      <w:bodyDiv w:val="1"/>
      <w:marLeft w:val="0"/>
      <w:marRight w:val="0"/>
      <w:marTop w:val="0"/>
      <w:marBottom w:val="0"/>
      <w:divBdr>
        <w:top w:val="none" w:sz="0" w:space="0" w:color="auto"/>
        <w:left w:val="none" w:sz="0" w:space="0" w:color="auto"/>
        <w:bottom w:val="none" w:sz="0" w:space="0" w:color="auto"/>
        <w:right w:val="none" w:sz="0" w:space="0" w:color="auto"/>
      </w:divBdr>
    </w:div>
    <w:div w:id="1683554884">
      <w:bodyDiv w:val="1"/>
      <w:marLeft w:val="0"/>
      <w:marRight w:val="0"/>
      <w:marTop w:val="0"/>
      <w:marBottom w:val="0"/>
      <w:divBdr>
        <w:top w:val="none" w:sz="0" w:space="0" w:color="auto"/>
        <w:left w:val="none" w:sz="0" w:space="0" w:color="auto"/>
        <w:bottom w:val="none" w:sz="0" w:space="0" w:color="auto"/>
        <w:right w:val="none" w:sz="0" w:space="0" w:color="auto"/>
      </w:divBdr>
    </w:div>
    <w:div w:id="1705328572">
      <w:bodyDiv w:val="1"/>
      <w:marLeft w:val="0"/>
      <w:marRight w:val="0"/>
      <w:marTop w:val="0"/>
      <w:marBottom w:val="0"/>
      <w:divBdr>
        <w:top w:val="none" w:sz="0" w:space="0" w:color="auto"/>
        <w:left w:val="none" w:sz="0" w:space="0" w:color="auto"/>
        <w:bottom w:val="none" w:sz="0" w:space="0" w:color="auto"/>
        <w:right w:val="none" w:sz="0" w:space="0" w:color="auto"/>
      </w:divBdr>
    </w:div>
    <w:div w:id="1740395838">
      <w:bodyDiv w:val="1"/>
      <w:marLeft w:val="0"/>
      <w:marRight w:val="0"/>
      <w:marTop w:val="0"/>
      <w:marBottom w:val="0"/>
      <w:divBdr>
        <w:top w:val="none" w:sz="0" w:space="0" w:color="auto"/>
        <w:left w:val="none" w:sz="0" w:space="0" w:color="auto"/>
        <w:bottom w:val="none" w:sz="0" w:space="0" w:color="auto"/>
        <w:right w:val="none" w:sz="0" w:space="0" w:color="auto"/>
      </w:divBdr>
    </w:div>
    <w:div w:id="1753772246">
      <w:bodyDiv w:val="1"/>
      <w:marLeft w:val="0"/>
      <w:marRight w:val="0"/>
      <w:marTop w:val="0"/>
      <w:marBottom w:val="0"/>
      <w:divBdr>
        <w:top w:val="none" w:sz="0" w:space="0" w:color="auto"/>
        <w:left w:val="none" w:sz="0" w:space="0" w:color="auto"/>
        <w:bottom w:val="none" w:sz="0" w:space="0" w:color="auto"/>
        <w:right w:val="none" w:sz="0" w:space="0" w:color="auto"/>
      </w:divBdr>
    </w:div>
    <w:div w:id="1769034373">
      <w:bodyDiv w:val="1"/>
      <w:marLeft w:val="0"/>
      <w:marRight w:val="0"/>
      <w:marTop w:val="0"/>
      <w:marBottom w:val="0"/>
      <w:divBdr>
        <w:top w:val="none" w:sz="0" w:space="0" w:color="auto"/>
        <w:left w:val="none" w:sz="0" w:space="0" w:color="auto"/>
        <w:bottom w:val="none" w:sz="0" w:space="0" w:color="auto"/>
        <w:right w:val="none" w:sz="0" w:space="0" w:color="auto"/>
      </w:divBdr>
    </w:div>
    <w:div w:id="1779836497">
      <w:bodyDiv w:val="1"/>
      <w:marLeft w:val="0"/>
      <w:marRight w:val="0"/>
      <w:marTop w:val="0"/>
      <w:marBottom w:val="0"/>
      <w:divBdr>
        <w:top w:val="none" w:sz="0" w:space="0" w:color="auto"/>
        <w:left w:val="none" w:sz="0" w:space="0" w:color="auto"/>
        <w:bottom w:val="none" w:sz="0" w:space="0" w:color="auto"/>
        <w:right w:val="none" w:sz="0" w:space="0" w:color="auto"/>
      </w:divBdr>
    </w:div>
    <w:div w:id="1804150826">
      <w:bodyDiv w:val="1"/>
      <w:marLeft w:val="0"/>
      <w:marRight w:val="0"/>
      <w:marTop w:val="0"/>
      <w:marBottom w:val="0"/>
      <w:divBdr>
        <w:top w:val="none" w:sz="0" w:space="0" w:color="auto"/>
        <w:left w:val="none" w:sz="0" w:space="0" w:color="auto"/>
        <w:bottom w:val="none" w:sz="0" w:space="0" w:color="auto"/>
        <w:right w:val="none" w:sz="0" w:space="0" w:color="auto"/>
      </w:divBdr>
    </w:div>
    <w:div w:id="1835337815">
      <w:bodyDiv w:val="1"/>
      <w:marLeft w:val="0"/>
      <w:marRight w:val="0"/>
      <w:marTop w:val="0"/>
      <w:marBottom w:val="0"/>
      <w:divBdr>
        <w:top w:val="none" w:sz="0" w:space="0" w:color="auto"/>
        <w:left w:val="none" w:sz="0" w:space="0" w:color="auto"/>
        <w:bottom w:val="none" w:sz="0" w:space="0" w:color="auto"/>
        <w:right w:val="none" w:sz="0" w:space="0" w:color="auto"/>
      </w:divBdr>
    </w:div>
    <w:div w:id="1909806539">
      <w:bodyDiv w:val="1"/>
      <w:marLeft w:val="0"/>
      <w:marRight w:val="0"/>
      <w:marTop w:val="0"/>
      <w:marBottom w:val="0"/>
      <w:divBdr>
        <w:top w:val="none" w:sz="0" w:space="0" w:color="auto"/>
        <w:left w:val="none" w:sz="0" w:space="0" w:color="auto"/>
        <w:bottom w:val="none" w:sz="0" w:space="0" w:color="auto"/>
        <w:right w:val="none" w:sz="0" w:space="0" w:color="auto"/>
      </w:divBdr>
    </w:div>
    <w:div w:id="1914124467">
      <w:bodyDiv w:val="1"/>
      <w:marLeft w:val="0"/>
      <w:marRight w:val="0"/>
      <w:marTop w:val="0"/>
      <w:marBottom w:val="0"/>
      <w:divBdr>
        <w:top w:val="none" w:sz="0" w:space="0" w:color="auto"/>
        <w:left w:val="none" w:sz="0" w:space="0" w:color="auto"/>
        <w:bottom w:val="none" w:sz="0" w:space="0" w:color="auto"/>
        <w:right w:val="none" w:sz="0" w:space="0" w:color="auto"/>
      </w:divBdr>
    </w:div>
    <w:div w:id="1928147860">
      <w:bodyDiv w:val="1"/>
      <w:marLeft w:val="0"/>
      <w:marRight w:val="0"/>
      <w:marTop w:val="0"/>
      <w:marBottom w:val="0"/>
      <w:divBdr>
        <w:top w:val="none" w:sz="0" w:space="0" w:color="auto"/>
        <w:left w:val="none" w:sz="0" w:space="0" w:color="auto"/>
        <w:bottom w:val="none" w:sz="0" w:space="0" w:color="auto"/>
        <w:right w:val="none" w:sz="0" w:space="0" w:color="auto"/>
      </w:divBdr>
    </w:div>
    <w:div w:id="2000889859">
      <w:bodyDiv w:val="1"/>
      <w:marLeft w:val="0"/>
      <w:marRight w:val="0"/>
      <w:marTop w:val="0"/>
      <w:marBottom w:val="0"/>
      <w:divBdr>
        <w:top w:val="none" w:sz="0" w:space="0" w:color="auto"/>
        <w:left w:val="none" w:sz="0" w:space="0" w:color="auto"/>
        <w:bottom w:val="none" w:sz="0" w:space="0" w:color="auto"/>
        <w:right w:val="none" w:sz="0" w:space="0" w:color="auto"/>
      </w:divBdr>
    </w:div>
    <w:div w:id="2010405118">
      <w:bodyDiv w:val="1"/>
      <w:marLeft w:val="0"/>
      <w:marRight w:val="0"/>
      <w:marTop w:val="0"/>
      <w:marBottom w:val="0"/>
      <w:divBdr>
        <w:top w:val="none" w:sz="0" w:space="0" w:color="auto"/>
        <w:left w:val="none" w:sz="0" w:space="0" w:color="auto"/>
        <w:bottom w:val="none" w:sz="0" w:space="0" w:color="auto"/>
        <w:right w:val="none" w:sz="0" w:space="0" w:color="auto"/>
      </w:divBdr>
    </w:div>
    <w:div w:id="2023511859">
      <w:bodyDiv w:val="1"/>
      <w:marLeft w:val="0"/>
      <w:marRight w:val="0"/>
      <w:marTop w:val="0"/>
      <w:marBottom w:val="0"/>
      <w:divBdr>
        <w:top w:val="none" w:sz="0" w:space="0" w:color="auto"/>
        <w:left w:val="none" w:sz="0" w:space="0" w:color="auto"/>
        <w:bottom w:val="none" w:sz="0" w:space="0" w:color="auto"/>
        <w:right w:val="none" w:sz="0" w:space="0" w:color="auto"/>
      </w:divBdr>
    </w:div>
    <w:div w:id="2049331989">
      <w:bodyDiv w:val="1"/>
      <w:marLeft w:val="0"/>
      <w:marRight w:val="0"/>
      <w:marTop w:val="0"/>
      <w:marBottom w:val="0"/>
      <w:divBdr>
        <w:top w:val="none" w:sz="0" w:space="0" w:color="auto"/>
        <w:left w:val="none" w:sz="0" w:space="0" w:color="auto"/>
        <w:bottom w:val="none" w:sz="0" w:space="0" w:color="auto"/>
        <w:right w:val="none" w:sz="0" w:space="0" w:color="auto"/>
      </w:divBdr>
    </w:div>
    <w:div w:id="2052998156">
      <w:bodyDiv w:val="1"/>
      <w:marLeft w:val="0"/>
      <w:marRight w:val="0"/>
      <w:marTop w:val="0"/>
      <w:marBottom w:val="0"/>
      <w:divBdr>
        <w:top w:val="none" w:sz="0" w:space="0" w:color="auto"/>
        <w:left w:val="none" w:sz="0" w:space="0" w:color="auto"/>
        <w:bottom w:val="none" w:sz="0" w:space="0" w:color="auto"/>
        <w:right w:val="none" w:sz="0" w:space="0" w:color="auto"/>
      </w:divBdr>
    </w:div>
    <w:div w:id="2066443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https://www.gov.scot/publications/tackling-child-poverty-delivery-plan-fourth-year-progress-report-2021-22/" TargetMode="External"/><Relationship Id="rId3" Type="http://schemas.openxmlformats.org/officeDocument/2006/relationships/customXml" Target="../customXml/item3.xml"/><Relationship Id="rId21" Type="http://schemas.openxmlformats.org/officeDocument/2006/relationships/hyperlink" Target="https://www.gov.scot/binaries/content/documents/govscot/publications/strategy-plan/2018/03/child-chance-tackling-child-poverty-delivery-plan-2018-22/documents/00533606-pdf/00533606-pdf/govscot%3Adocument/00533606.pdf"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www.gov.scot/publications/tackling-child-poverty-third-year-progress-report-2020-2021/"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www.gov.scot/publications/debt-advice-levy-funding/" TargetMode="External"/><Relationship Id="rId29" Type="http://schemas.openxmlformats.org/officeDocument/2006/relationships/hyperlink" Target="https://www.gov.scot/publications/foi-20240042326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gov.scot/publications/tackling-child-poverty-delivery-plan-second-year-progress-report-2019-20/"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gov.scot/publications/tackling-child-poverty-delivery-plan-first-year-progress-report-2018-19/" TargetMode="External"/><Relationship Id="rId28" Type="http://schemas.openxmlformats.org/officeDocument/2006/relationships/hyperlink" Target="https://www.gov.scot/publications/best-start-bright-futures-tackling-child-poverty-progress-report-2023-24/" TargetMode="External"/><Relationship Id="rId10" Type="http://schemas.openxmlformats.org/officeDocument/2006/relationships/endnotes" Target="endnotes.xml"/><Relationship Id="rId19" Type="http://schemas.openxmlformats.org/officeDocument/2006/relationships/image" Target="media/image9.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gov.scot/binaries/content/documents/govscot/publications/strategy-plan/2022/03/best-start-bright-futures-tackling-child-poverty-delivery-plan-2022-26/documents/best-start-bright-futures-tackling-child-poverty-delivery-plan-2022-2026/best-start-bright-futures-tackling-child-poverty-delivery-plan-2022-2026/govscot%3Adocument/best-start-bright-futures-tackling-child-poverty-delivery-plan-2022-2026.pdf" TargetMode="External"/><Relationship Id="rId27" Type="http://schemas.openxmlformats.org/officeDocument/2006/relationships/hyperlink" Target="https://www.gov.scot/publications/tackling-child-poverty-delivery-plan-annual-progress-report-2022-2023/"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2B0ADE33229E40820B5E739CC7F632" ma:contentTypeVersion="4" ma:contentTypeDescription="Create a new document." ma:contentTypeScope="" ma:versionID="00908e09f77312cf477e5fe01170e3b9">
  <xsd:schema xmlns:xsd="http://www.w3.org/2001/XMLSchema" xmlns:xs="http://www.w3.org/2001/XMLSchema" xmlns:p="http://schemas.microsoft.com/office/2006/metadata/properties" xmlns:ns2="71233a6a-b787-4a65-891a-0015a74a4a9b" targetNamespace="http://schemas.microsoft.com/office/2006/metadata/properties" ma:root="true" ma:fieldsID="1b557a0873a923adf90064adfe520c21" ns2:_="">
    <xsd:import namespace="71233a6a-b787-4a65-891a-0015a74a4a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233a6a-b787-4a65-891a-0015a74a4a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8459CA-D752-4360-8E94-31ECE05436B3}">
  <ds:schemaRefs>
    <ds:schemaRef ds:uri="http://schemas.openxmlformats.org/officeDocument/2006/bibliography"/>
  </ds:schemaRefs>
</ds:datastoreItem>
</file>

<file path=customXml/itemProps2.xml><?xml version="1.0" encoding="utf-8"?>
<ds:datastoreItem xmlns:ds="http://schemas.openxmlformats.org/officeDocument/2006/customXml" ds:itemID="{DB8CD447-616A-4597-8A66-9DCD7CB53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233a6a-b787-4a65-891a-0015a74a4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CF7A2-19C1-4294-BA16-E646873F656D}">
  <ds:schemaRefs>
    <ds:schemaRef ds:uri="http://schemas.microsoft.com/sharepoint/v3/contenttype/forms"/>
  </ds:schemaRefs>
</ds:datastoreItem>
</file>

<file path=customXml/itemProps4.xml><?xml version="1.0" encoding="utf-8"?>
<ds:datastoreItem xmlns:ds="http://schemas.openxmlformats.org/officeDocument/2006/customXml" ds:itemID="{31D62028-D307-4CF9-A9CC-FBB910D3144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6689</Words>
  <Characters>36257</Characters>
  <Application>Microsoft Office Word</Application>
  <DocSecurity>0</DocSecurity>
  <Lines>3021</Lines>
  <Paragraphs>1101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41845</CharactersWithSpaces>
  <SharedDoc>false</SharedDoc>
  <HLinks>
    <vt:vector size="132" baseType="variant">
      <vt:variant>
        <vt:i4>7143550</vt:i4>
      </vt:variant>
      <vt:variant>
        <vt:i4>121</vt:i4>
      </vt:variant>
      <vt:variant>
        <vt:i4>0</vt:i4>
      </vt:variant>
      <vt:variant>
        <vt:i4>5</vt:i4>
      </vt:variant>
      <vt:variant>
        <vt:lpwstr>https://www.gov.scot/publications/foi-202400423267/</vt:lpwstr>
      </vt:variant>
      <vt:variant>
        <vt:lpwstr/>
      </vt:variant>
      <vt:variant>
        <vt:i4>7209016</vt:i4>
      </vt:variant>
      <vt:variant>
        <vt:i4>118</vt:i4>
      </vt:variant>
      <vt:variant>
        <vt:i4>0</vt:i4>
      </vt:variant>
      <vt:variant>
        <vt:i4>5</vt:i4>
      </vt:variant>
      <vt:variant>
        <vt:lpwstr>https://www.gov.scot/publications/best-start-bright-futures-tackling-child-poverty-progress-report-2023-24/</vt:lpwstr>
      </vt:variant>
      <vt:variant>
        <vt:lpwstr/>
      </vt:variant>
      <vt:variant>
        <vt:i4>5767178</vt:i4>
      </vt:variant>
      <vt:variant>
        <vt:i4>115</vt:i4>
      </vt:variant>
      <vt:variant>
        <vt:i4>0</vt:i4>
      </vt:variant>
      <vt:variant>
        <vt:i4>5</vt:i4>
      </vt:variant>
      <vt:variant>
        <vt:lpwstr>https://www.gov.scot/publications/tackling-child-poverty-delivery-plan-annual-progress-report-2022-2023/</vt:lpwstr>
      </vt:variant>
      <vt:variant>
        <vt:lpwstr/>
      </vt:variant>
      <vt:variant>
        <vt:i4>6750259</vt:i4>
      </vt:variant>
      <vt:variant>
        <vt:i4>112</vt:i4>
      </vt:variant>
      <vt:variant>
        <vt:i4>0</vt:i4>
      </vt:variant>
      <vt:variant>
        <vt:i4>5</vt:i4>
      </vt:variant>
      <vt:variant>
        <vt:lpwstr>https://www.gov.scot/publications/tackling-child-poverty-delivery-plan-fourth-year-progress-report-2021-22/</vt:lpwstr>
      </vt:variant>
      <vt:variant>
        <vt:lpwstr/>
      </vt:variant>
      <vt:variant>
        <vt:i4>7733363</vt:i4>
      </vt:variant>
      <vt:variant>
        <vt:i4>109</vt:i4>
      </vt:variant>
      <vt:variant>
        <vt:i4>0</vt:i4>
      </vt:variant>
      <vt:variant>
        <vt:i4>5</vt:i4>
      </vt:variant>
      <vt:variant>
        <vt:lpwstr>https://www.gov.scot/publications/tackling-child-poverty-third-year-progress-report-2020-2021/</vt:lpwstr>
      </vt:variant>
      <vt:variant>
        <vt:lpwstr/>
      </vt:variant>
      <vt:variant>
        <vt:i4>8323104</vt:i4>
      </vt:variant>
      <vt:variant>
        <vt:i4>106</vt:i4>
      </vt:variant>
      <vt:variant>
        <vt:i4>0</vt:i4>
      </vt:variant>
      <vt:variant>
        <vt:i4>5</vt:i4>
      </vt:variant>
      <vt:variant>
        <vt:lpwstr>https://www.gov.scot/publications/tackling-child-poverty-delivery-plan-second-year-progress-report-2019-20/</vt:lpwstr>
      </vt:variant>
      <vt:variant>
        <vt:lpwstr/>
      </vt:variant>
      <vt:variant>
        <vt:i4>7667812</vt:i4>
      </vt:variant>
      <vt:variant>
        <vt:i4>103</vt:i4>
      </vt:variant>
      <vt:variant>
        <vt:i4>0</vt:i4>
      </vt:variant>
      <vt:variant>
        <vt:i4>5</vt:i4>
      </vt:variant>
      <vt:variant>
        <vt:lpwstr>https://www.gov.scot/publications/tackling-child-poverty-delivery-plan-first-year-progress-report-2018-19/</vt:lpwstr>
      </vt:variant>
      <vt:variant>
        <vt:lpwstr/>
      </vt:variant>
      <vt:variant>
        <vt:i4>3080313</vt:i4>
      </vt:variant>
      <vt:variant>
        <vt:i4>100</vt:i4>
      </vt:variant>
      <vt:variant>
        <vt:i4>0</vt:i4>
      </vt:variant>
      <vt:variant>
        <vt:i4>5</vt:i4>
      </vt:variant>
      <vt:variant>
        <vt:lpwstr>https://www.gov.scot/binaries/content/documents/govscot/publications/strategy-plan/2022/03/best-start-bright-futures-tackling-child-poverty-delivery-plan-2022-26/documents/best-start-bright-futures-tackling-child-poverty-delivery-plan-2022-2026/best-start-bright-futures-tackling-child-poverty-delivery-plan-2022-2026/govscot%3Adocument/best-start-bright-futures-tackling-child-poverty-delivery-plan-2022-2026.pdf</vt:lpwstr>
      </vt:variant>
      <vt:variant>
        <vt:lpwstr/>
      </vt:variant>
      <vt:variant>
        <vt:i4>4915231</vt:i4>
      </vt:variant>
      <vt:variant>
        <vt:i4>97</vt:i4>
      </vt:variant>
      <vt:variant>
        <vt:i4>0</vt:i4>
      </vt:variant>
      <vt:variant>
        <vt:i4>5</vt:i4>
      </vt:variant>
      <vt:variant>
        <vt:lpwstr>https://www.gov.scot/binaries/content/documents/govscot/publications/strategy-plan/2018/03/child-chance-tackling-child-poverty-delivery-plan-2018-22/documents/00533606-pdf/00533606-pdf/govscot%3Adocument/00533606.pdf</vt:lpwstr>
      </vt:variant>
      <vt:variant>
        <vt:lpwstr/>
      </vt:variant>
      <vt:variant>
        <vt:i4>8257659</vt:i4>
      </vt:variant>
      <vt:variant>
        <vt:i4>92</vt:i4>
      </vt:variant>
      <vt:variant>
        <vt:i4>0</vt:i4>
      </vt:variant>
      <vt:variant>
        <vt:i4>5</vt:i4>
      </vt:variant>
      <vt:variant>
        <vt:lpwstr>https://www.gov.scot/publications/debt-advice-levy-funding/</vt:lpwstr>
      </vt:variant>
      <vt:variant>
        <vt:lpwstr/>
      </vt:variant>
      <vt:variant>
        <vt:i4>1507383</vt:i4>
      </vt:variant>
      <vt:variant>
        <vt:i4>68</vt:i4>
      </vt:variant>
      <vt:variant>
        <vt:i4>0</vt:i4>
      </vt:variant>
      <vt:variant>
        <vt:i4>5</vt:i4>
      </vt:variant>
      <vt:variant>
        <vt:lpwstr/>
      </vt:variant>
      <vt:variant>
        <vt:lpwstr>_Toc200730679</vt:lpwstr>
      </vt:variant>
      <vt:variant>
        <vt:i4>1507383</vt:i4>
      </vt:variant>
      <vt:variant>
        <vt:i4>62</vt:i4>
      </vt:variant>
      <vt:variant>
        <vt:i4>0</vt:i4>
      </vt:variant>
      <vt:variant>
        <vt:i4>5</vt:i4>
      </vt:variant>
      <vt:variant>
        <vt:lpwstr/>
      </vt:variant>
      <vt:variant>
        <vt:lpwstr>_Toc200730678</vt:lpwstr>
      </vt:variant>
      <vt:variant>
        <vt:i4>1507383</vt:i4>
      </vt:variant>
      <vt:variant>
        <vt:i4>56</vt:i4>
      </vt:variant>
      <vt:variant>
        <vt:i4>0</vt:i4>
      </vt:variant>
      <vt:variant>
        <vt:i4>5</vt:i4>
      </vt:variant>
      <vt:variant>
        <vt:lpwstr/>
      </vt:variant>
      <vt:variant>
        <vt:lpwstr>_Toc200730677</vt:lpwstr>
      </vt:variant>
      <vt:variant>
        <vt:i4>1507383</vt:i4>
      </vt:variant>
      <vt:variant>
        <vt:i4>50</vt:i4>
      </vt:variant>
      <vt:variant>
        <vt:i4>0</vt:i4>
      </vt:variant>
      <vt:variant>
        <vt:i4>5</vt:i4>
      </vt:variant>
      <vt:variant>
        <vt:lpwstr/>
      </vt:variant>
      <vt:variant>
        <vt:lpwstr>_Toc200730676</vt:lpwstr>
      </vt:variant>
      <vt:variant>
        <vt:i4>1507383</vt:i4>
      </vt:variant>
      <vt:variant>
        <vt:i4>44</vt:i4>
      </vt:variant>
      <vt:variant>
        <vt:i4>0</vt:i4>
      </vt:variant>
      <vt:variant>
        <vt:i4>5</vt:i4>
      </vt:variant>
      <vt:variant>
        <vt:lpwstr/>
      </vt:variant>
      <vt:variant>
        <vt:lpwstr>_Toc200730675</vt:lpwstr>
      </vt:variant>
      <vt:variant>
        <vt:i4>1507383</vt:i4>
      </vt:variant>
      <vt:variant>
        <vt:i4>38</vt:i4>
      </vt:variant>
      <vt:variant>
        <vt:i4>0</vt:i4>
      </vt:variant>
      <vt:variant>
        <vt:i4>5</vt:i4>
      </vt:variant>
      <vt:variant>
        <vt:lpwstr/>
      </vt:variant>
      <vt:variant>
        <vt:lpwstr>_Toc200730674</vt:lpwstr>
      </vt:variant>
      <vt:variant>
        <vt:i4>1507383</vt:i4>
      </vt:variant>
      <vt:variant>
        <vt:i4>32</vt:i4>
      </vt:variant>
      <vt:variant>
        <vt:i4>0</vt:i4>
      </vt:variant>
      <vt:variant>
        <vt:i4>5</vt:i4>
      </vt:variant>
      <vt:variant>
        <vt:lpwstr/>
      </vt:variant>
      <vt:variant>
        <vt:lpwstr>_Toc200730673</vt:lpwstr>
      </vt:variant>
      <vt:variant>
        <vt:i4>1507383</vt:i4>
      </vt:variant>
      <vt:variant>
        <vt:i4>26</vt:i4>
      </vt:variant>
      <vt:variant>
        <vt:i4>0</vt:i4>
      </vt:variant>
      <vt:variant>
        <vt:i4>5</vt:i4>
      </vt:variant>
      <vt:variant>
        <vt:lpwstr/>
      </vt:variant>
      <vt:variant>
        <vt:lpwstr>_Toc200730672</vt:lpwstr>
      </vt:variant>
      <vt:variant>
        <vt:i4>1507383</vt:i4>
      </vt:variant>
      <vt:variant>
        <vt:i4>20</vt:i4>
      </vt:variant>
      <vt:variant>
        <vt:i4>0</vt:i4>
      </vt:variant>
      <vt:variant>
        <vt:i4>5</vt:i4>
      </vt:variant>
      <vt:variant>
        <vt:lpwstr/>
      </vt:variant>
      <vt:variant>
        <vt:lpwstr>_Toc200730671</vt:lpwstr>
      </vt:variant>
      <vt:variant>
        <vt:i4>1507383</vt:i4>
      </vt:variant>
      <vt:variant>
        <vt:i4>14</vt:i4>
      </vt:variant>
      <vt:variant>
        <vt:i4>0</vt:i4>
      </vt:variant>
      <vt:variant>
        <vt:i4>5</vt:i4>
      </vt:variant>
      <vt:variant>
        <vt:lpwstr/>
      </vt:variant>
      <vt:variant>
        <vt:lpwstr>_Toc200730670</vt:lpwstr>
      </vt:variant>
      <vt:variant>
        <vt:i4>1441847</vt:i4>
      </vt:variant>
      <vt:variant>
        <vt:i4>8</vt:i4>
      </vt:variant>
      <vt:variant>
        <vt:i4>0</vt:i4>
      </vt:variant>
      <vt:variant>
        <vt:i4>5</vt:i4>
      </vt:variant>
      <vt:variant>
        <vt:lpwstr/>
      </vt:variant>
      <vt:variant>
        <vt:lpwstr>_Toc200730669</vt:lpwstr>
      </vt:variant>
      <vt:variant>
        <vt:i4>1441847</vt:i4>
      </vt:variant>
      <vt:variant>
        <vt:i4>2</vt:i4>
      </vt:variant>
      <vt:variant>
        <vt:i4>0</vt:i4>
      </vt:variant>
      <vt:variant>
        <vt:i4>5</vt:i4>
      </vt:variant>
      <vt:variant>
        <vt:lpwstr/>
      </vt:variant>
      <vt:variant>
        <vt:lpwstr>_Toc200730668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Congreve</dc:creator>
  <cp:keywords/>
  <dc:description/>
  <cp:lastModifiedBy>Emma Congreve</cp:lastModifiedBy>
  <cp:revision>2</cp:revision>
  <cp:lastPrinted>2025-06-24T16:42:00Z</cp:lastPrinted>
  <dcterms:created xsi:type="dcterms:W3CDTF">2025-12-04T21:16:00Z</dcterms:created>
  <dcterms:modified xsi:type="dcterms:W3CDTF">2025-12-04T21:16:00Z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0x0101009E2B0ADE33229E40820B5E739CC7F632</vt:lpwstr>
  </property>
</Properties>
</file>